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541d1_6k.htm"/>
      <w:bookmarkStart w:id="1" w:name="kstm262554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001-38261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Kaixin Holdings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Complex Building Room 211,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Dong Quan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Luoyang Town, Taishun County,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Wenzhou, Zhejiang Province,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6-K, including the exhibits filed herein, in connection with the unaudited consolidated financial results for the six months ended June 30, 2026 of Kaixin Holdings (“Kaixin” or the “Company”) is hereby incorporated by reference into the Registration Statement on Form F-3 (File No. 333-291748) of the Company and shall form a part thereof from the date on which this Current Report is furnished,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Update on Total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filing date of this Form 6-K, the total ordinary shares issued and outstanding of the Company are 45,278,552 shares, including 42,133,884 Class A ordinary shares and 3,144,668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of 2026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was US$667,000, representing a 602% increase over that of US$95,000 in the first half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 was US$23,000, representing a 76% decrease from that of US$95,000 in the first half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 was US$2.0 million, representing a 77% decrease from US$8.7 million in the first half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the Company was US$1.9 million, representing a 77% decrease from US$8.4 million in the first half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loss from operations (non-GAAP)</w:t>
            </w:r>
            <w:r>
              <w:rPr>
                <w:rFonts w:ascii="Times New Roman;Times;Serif" w:hAnsi="Times New Roman;Times;Serif"/>
                <w:position w:val="8"/>
                <w:sz w:val="19"/>
              </w:rPr>
              <w:t>1</w:t>
            </w:r>
            <w:r>
              <w:rPr>
                <w:rFonts w:ascii="Times New Roman;Times;Serif" w:hAnsi="Times New Roman;Times;Serif"/>
              </w:rPr>
              <w:t xml:space="preserve"> was US$1.4 million, compared to that of US$3.0 million in the first half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net loss (non-GAAP)</w:t>
            </w:r>
            <w:r>
              <w:rPr>
                <w:rFonts w:ascii="Times New Roman;Times;Serif" w:hAnsi="Times New Roman;Times;Serif"/>
                <w:position w:val="8"/>
                <w:sz w:val="19"/>
              </w:rPr>
              <w:t>2</w:t>
            </w:r>
            <w:r>
              <w:rPr>
                <w:rFonts w:ascii="Times New Roman;Times;Serif" w:hAnsi="Times New Roman;Times;Serif"/>
              </w:rPr>
              <w:t xml:space="preserve"> was US$1.3 million, compared to that of US$2.7 million in the first half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net revenues </w:t>
      </w:r>
      <w:r>
        <w:rPr>
          <w:rFonts w:ascii="Times New Roman;Times;Serif" w:hAnsi="Times New Roman;Times;Serif"/>
          <w:b w:val="false"/>
          <w:i w:val="false"/>
          <w:caps w:val="false"/>
          <w:smallCaps w:val="false"/>
          <w:sz w:val="20"/>
        </w:rPr>
        <w:t>were US$667,000, representing an increase of 602% over that of US$95,000 in the first half of 2025. The revenue increase was mainly attributed to the car sales business. All revenues were obtained through the Company’s subsidiary based in Hong Kong in operations outside of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Gross profit </w:t>
      </w:r>
      <w:r>
        <w:rPr>
          <w:rFonts w:ascii="Times New Roman;Times;Serif" w:hAnsi="Times New Roman;Times;Serif"/>
          <w:b w:val="false"/>
          <w:i w:val="false"/>
          <w:caps w:val="false"/>
          <w:smallCaps w:val="false"/>
          <w:sz w:val="20"/>
        </w:rPr>
        <w:t>was US$23,000, representing a 76% decrease from that of US$95,000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Operating expenses </w:t>
      </w:r>
      <w:r>
        <w:rPr>
          <w:rFonts w:ascii="Times New Roman;Times;Serif" w:hAnsi="Times New Roman;Times;Serif"/>
          <w:b w:val="false"/>
          <w:i w:val="false"/>
          <w:caps w:val="false"/>
          <w:smallCaps w:val="false"/>
          <w:sz w:val="20"/>
        </w:rPr>
        <w:t>were US$2.0 million, significantly lower than those of US$8.7 million in the first half of 2025. The difference in operating expenses between the two periods was largely due to a US$6.7 million decrease in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were US$18,000, compared with US$65,000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US$2.0 million, compared to that of US$8.7 million in the first half of 2025. The decrease was primarily due to a US$5.1 million decrease in share-based compensation expenses recognized in the first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Loss from operations </w:t>
      </w:r>
      <w:r>
        <w:rPr>
          <w:rFonts w:ascii="Times New Roman;Times;Serif" w:hAnsi="Times New Roman;Times;Serif"/>
          <w:b w:val="false"/>
          <w:i w:val="false"/>
          <w:caps w:val="false"/>
          <w:smallCaps w:val="false"/>
          <w:sz w:val="20"/>
        </w:rPr>
        <w:t>was US$2.0 million, compared with a loss of US$8.7 million in the first half of 2025. The difference in loss from operations between the two periods was largely due to lower operating expenses in the first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 attributable to the Company</w:t>
      </w:r>
      <w:r>
        <w:rPr>
          <w:rFonts w:ascii="Times New Roman;Times;Serif" w:hAnsi="Times New Roman;Times;Serif"/>
          <w:b w:val="false"/>
          <w:i w:val="false"/>
          <w:caps w:val="false"/>
          <w:smallCaps w:val="false"/>
          <w:sz w:val="20"/>
        </w:rPr>
        <w:t xml:space="preserve"> was US$1.9 million, down approximately 77% from US$8.4 million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loss from operations</w:t>
      </w:r>
      <w:r>
        <w:rPr>
          <w:rFonts w:ascii="Times New Roman;Times;Serif" w:hAnsi="Times New Roman;Times;Serif"/>
          <w:b w:val="false"/>
          <w:i w:val="false"/>
          <w:caps w:val="false"/>
          <w:smallCaps w:val="false"/>
          <w:sz w:val="20"/>
        </w:rPr>
        <w:t xml:space="preserve"> (non-GAAP) was US$1.4 million, compared to that of US$3.0 million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net loss</w:t>
      </w:r>
      <w:r>
        <w:rPr>
          <w:rFonts w:ascii="Times New Roman;Times;Serif" w:hAnsi="Times New Roman;Times;Serif"/>
          <w:b w:val="false"/>
          <w:i w:val="false"/>
          <w:caps w:val="false"/>
          <w:smallCaps w:val="false"/>
          <w:sz w:val="20"/>
        </w:rPr>
        <w:t xml:space="preserve"> (non-GAAP) was US$1.3 million, compared to that of US$2.7 million in the first half of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20"/>
              </w:rPr>
            </w:pPr>
            <w:r>
              <w:rPr>
                <w:sz w:val="20"/>
              </w:rPr>
              <w:t>1.</w:t>
            </w:r>
          </w:p>
        </w:tc>
        <w:tc>
          <w:tcPr>
            <w:tcW w:w="9982" w:type="dxa"/>
            <w:tcBorders/>
            <w:vAlign w:val="center"/>
          </w:tcPr>
          <w:p>
            <w:pPr>
              <w:pStyle w:val="TableContents"/>
              <w:bidi w:val="0"/>
              <w:spacing w:before="0" w:after="283"/>
              <w:jc w:val="both"/>
              <w:rPr>
                <w:sz w:val="20"/>
              </w:rPr>
            </w:pPr>
            <w:r>
              <w:rPr>
                <w:sz w:val="20"/>
              </w:rPr>
              <w:t>Adjusted loss from operations is a non-GAAP measure. We define adjusted loss from operations as loss from operations excluding share-based compensation expenses. See “About Non-GAAP Financial Measures”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20"/>
              </w:rPr>
            </w:pPr>
            <w:r>
              <w:rPr>
                <w:sz w:val="20"/>
              </w:rPr>
              <w:t>2.</w:t>
            </w:r>
          </w:p>
        </w:tc>
        <w:tc>
          <w:tcPr>
            <w:tcW w:w="9976" w:type="dxa"/>
            <w:tcBorders/>
            <w:vAlign w:val="center"/>
          </w:tcPr>
          <w:p>
            <w:pPr>
              <w:pStyle w:val="TableContents"/>
              <w:bidi w:val="0"/>
              <w:spacing w:before="0" w:after="283"/>
              <w:jc w:val="both"/>
              <w:rPr>
                <w:sz w:val="20"/>
              </w:rPr>
            </w:pPr>
            <w:r>
              <w:rPr>
                <w:sz w:val="20"/>
              </w:rPr>
              <w:t>Adjusted net loss is a non-GAAP measure. We define adjusted net loss as net loss excluding share-based compensation expenses. See “About Non-GAAP Financial Measures”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Kaixin’s consolidated financial results presented in accordance with United States Generally Accepted Accounting Principles (“GAAP”), Kaixin uses “adjusted loss from operations” and “adjusted net loss”, which are defined as non-GAAP financial measures by the SEC, in evaluating its business. We define adjusted loss from operations as loss from operations excluding share-based compensation expenses. To facilitate investors and analysts, we present the foresaid impact in “Reconciliation of non-GAAP results of operations measures to the comparable GAAP financial measures” retrospectively. We present adjusted loss from operations and adjusted net income (loss) because management uses them to evaluate operating performance. We also believe these non-GAAP financial measures provide useful information to investors and others to understand and evaluate our consolidated results of operations in the same manner as our management and to compare financial results across accounting periods and with those of our peer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are not intended to be considered in isolation from, or as a substitute for, the financial information prepared and presented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Kaixin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Holdings is a Cayman Islands holding corporation with operating businesses in the automotive industry based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may contain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or other similar expressions. Statements that are not historical facts, including statements about Kaixin’s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our goals and strategies; our future business development, financial condition and results of operations; our expectations regarding demand for and market acceptance of our services; our expectations regarding the retention and strengthening of our relationships with auto dealerships; our plans to enhance user experience, infrastructure and service offerings; competition in our industry in China; and relevant government policies and regulations relating to our industry. Further information regarding these and other risks is included in our other documents filed with the SEC. All information provided in this announcement and in the attachments is as of the date of this announcement, and Kaixin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tbl>
      <w:tblPr>
        <w:tblW w:w="1675" w:type="dxa"/>
        <w:jc w:val="left"/>
        <w:tblInd w:w="0" w:type="dxa"/>
        <w:tblLayout w:type="fixed"/>
        <w:tblCellMar>
          <w:top w:w="0" w:type="dxa"/>
          <w:left w:w="0" w:type="dxa"/>
          <w:bottom w:w="0" w:type="dxa"/>
          <w:right w:w="0" w:type="dxa"/>
        </w:tblCellMar>
      </w:tblPr>
      <w:tblGrid>
        <w:gridCol w:w="665"/>
        <w:gridCol w:w="1010"/>
      </w:tblGrid>
      <w:tr>
        <w:trPr/>
        <w:tc>
          <w:tcPr>
            <w:tcW w:w="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10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w:anchor="tm2625541d1_ex99-1.htm">
              <w:r>
                <w:rPr>
                  <w:rStyle w:val="InternetLink"/>
                  <w:rFonts w:ascii="Times New Roman;Times;Serif" w:hAnsi="Times New Roman;Times;Serif"/>
                  <w:b w:val="false"/>
                  <w:i w:val="false"/>
                  <w:caps w:val="false"/>
                  <w:smallCaps w:val="false"/>
                  <w:sz w:val="20"/>
                </w:rPr>
                <w:t>99.1</w:t>
              </w:r>
            </w:hyperlink>
          </w:p>
        </w:tc>
        <w:tc>
          <w:tcPr>
            <w:tcW w:w="9810" w:type="dxa"/>
            <w:tcBorders/>
            <w:vAlign w:val="center"/>
          </w:tcPr>
          <w:p>
            <w:pPr>
              <w:pStyle w:val="TableContents"/>
              <w:bidi w:val="0"/>
              <w:spacing w:before="0" w:after="283"/>
              <w:jc w:val="left"/>
              <w:rPr/>
            </w:pPr>
            <w:hyperlink w:anchor="tm2625541d1_ex99-1.htm">
              <w:r>
                <w:rPr>
                  <w:rStyle w:val="InternetLink"/>
                  <w:rFonts w:ascii="Times New Roman;Times;Serif" w:hAnsi="Times New Roman;Times;Serif"/>
                  <w:b w:val="false"/>
                  <w:i w:val="false"/>
                  <w:caps w:val="false"/>
                  <w:smallCaps w:val="false"/>
                  <w:sz w:val="20"/>
                </w:rPr>
                <w:t>Kaixin Holdings Unaudited Consolidated Financial Statements for the First Half of 2026</w:t>
              </w:r>
            </w:hyperlink>
          </w:p>
        </w:tc>
      </w:tr>
      <w:tr>
        <w:trPr/>
        <w:tc>
          <w:tcPr>
            <w:tcW w:w="395" w:type="dxa"/>
            <w:tcBorders/>
            <w:vAlign w:val="center"/>
          </w:tcPr>
          <w:p>
            <w:pPr>
              <w:pStyle w:val="TableContents"/>
              <w:bidi w:val="0"/>
              <w:spacing w:before="0" w:after="283"/>
              <w:jc w:val="left"/>
              <w:rPr/>
            </w:pPr>
            <w:hyperlink w:anchor="tm2625541d1_ex99-2.htm">
              <w:r>
                <w:rPr>
                  <w:rStyle w:val="InternetLink"/>
                  <w:rFonts w:ascii="Times New Roman;Times;Serif" w:hAnsi="Times New Roman;Times;Serif"/>
                  <w:b w:val="false"/>
                  <w:i w:val="false"/>
                  <w:caps w:val="false"/>
                  <w:smallCaps w:val="false"/>
                  <w:sz w:val="20"/>
                </w:rPr>
                <w:t>99.2</w:t>
              </w:r>
            </w:hyperlink>
          </w:p>
        </w:tc>
        <w:tc>
          <w:tcPr>
            <w:tcW w:w="9810" w:type="dxa"/>
            <w:tcBorders/>
            <w:vAlign w:val="center"/>
          </w:tcPr>
          <w:p>
            <w:pPr>
              <w:pStyle w:val="TableContents"/>
              <w:bidi w:val="0"/>
              <w:spacing w:before="0" w:after="283"/>
              <w:jc w:val="left"/>
              <w:rPr/>
            </w:pPr>
            <w:hyperlink w:anchor="tm2625541d1_ex99-2.htm">
              <w:r>
                <w:rPr>
                  <w:rStyle w:val="InternetLink"/>
                  <w:rFonts w:ascii="Times New Roman;Times;Serif" w:hAnsi="Times New Roman;Times;Serif"/>
                  <w:b w:val="false"/>
                  <w:i w:val="false"/>
                  <w:caps w:val="false"/>
                  <w:smallCaps w:val="false"/>
                  <w:sz w:val="20"/>
                </w:rPr>
                <w:t>Reconciliation of Non-GAAP Results of Operations Measures to the Comparable GAAP Financial Measures</w:t>
              </w:r>
            </w:hyperlink>
          </w:p>
        </w:tc>
      </w:tr>
      <w:tr>
        <w:trPr/>
        <w:tc>
          <w:tcPr>
            <w:tcW w:w="395" w:type="dxa"/>
            <w:tcBorders/>
            <w:vAlign w:val="center"/>
          </w:tcPr>
          <w:p>
            <w:pPr>
              <w:pStyle w:val="TableContents"/>
              <w:bidi w:val="0"/>
              <w:spacing w:before="0" w:after="283"/>
              <w:jc w:val="both"/>
              <w:rPr/>
            </w:pPr>
            <w:hyperlink w:anchor="tm2625541d1_ex99-3.htm">
              <w:r>
                <w:rPr>
                  <w:rStyle w:val="InternetLink"/>
                  <w:rFonts w:ascii="Times New Roman;Times;Serif" w:hAnsi="Times New Roman;Times;Serif"/>
                  <w:b w:val="false"/>
                  <w:i w:val="false"/>
                  <w:caps w:val="false"/>
                  <w:smallCaps w:val="false"/>
                  <w:sz w:val="20"/>
                </w:rPr>
                <w:t>99.3</w:t>
              </w:r>
            </w:hyperlink>
          </w:p>
        </w:tc>
        <w:tc>
          <w:tcPr>
            <w:tcW w:w="9810" w:type="dxa"/>
            <w:tcBorders/>
            <w:vAlign w:val="center"/>
          </w:tcPr>
          <w:p>
            <w:pPr>
              <w:pStyle w:val="TableContents"/>
              <w:bidi w:val="0"/>
              <w:spacing w:before="0" w:after="283"/>
              <w:jc w:val="both"/>
              <w:rPr/>
            </w:pPr>
            <w:hyperlink w:anchor="tm2625541d1_ex99-3.htm">
              <w:r>
                <w:rPr>
                  <w:rStyle w:val="InternetLink"/>
                  <w:rFonts w:ascii="Times New Roman;Times;Serif" w:hAnsi="Times New Roman;Times;Serif"/>
                  <w:b w:val="false"/>
                  <w:i w:val="false"/>
                  <w:caps w:val="false"/>
                  <w:smallCaps w:val="false"/>
                  <w:sz w:val="20"/>
                </w:rPr>
                <w:t>Ninth Amended and Restated Memorandum and Articles of Association of Kaixin Holdings, as adopted by a special resolution on April 15, 2026</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135"/>
        <w:gridCol w:w="560"/>
        <w:gridCol w:w="1895"/>
      </w:tblGrid>
      <w:tr>
        <w:trPr/>
        <w:tc>
          <w:tcPr>
            <w:tcW w:w="2135" w:type="dxa"/>
            <w:tcBorders/>
            <w:vAlign w:val="center"/>
          </w:tcPr>
          <w:p>
            <w:pPr>
              <w:pStyle w:val="TableContents"/>
              <w:bidi w:val="0"/>
              <w:spacing w:before="0" w:after="283"/>
              <w:jc w:val="left"/>
              <w:rPr/>
            </w:pPr>
            <w:r>
              <w:rPr/>
              <w:t> </w:t>
            </w:r>
          </w:p>
        </w:tc>
        <w:tc>
          <w:tcPr>
            <w:tcW w:w="2455" w:type="dxa"/>
            <w:gridSpan w:val="2"/>
            <w:tcBorders/>
            <w:vAlign w:val="center"/>
          </w:tcPr>
          <w:p>
            <w:pPr>
              <w:pStyle w:val="TableContents"/>
              <w:bidi w:val="0"/>
              <w:spacing w:before="0" w:after="283"/>
              <w:jc w:val="left"/>
              <w:rPr>
                <w:b/>
                <w:sz w:val="20"/>
              </w:rPr>
            </w:pPr>
            <w:r>
              <w:rPr>
                <w:b/>
                <w:sz w:val="20"/>
              </w:rPr>
              <w:t>Kaixin Holdings</w:t>
            </w:r>
          </w:p>
        </w:tc>
      </w:tr>
      <w:tr>
        <w:trPr/>
        <w:tc>
          <w:tcPr>
            <w:tcW w:w="2135" w:type="dxa"/>
            <w:tcBorders/>
            <w:vAlign w:val="center"/>
          </w:tcPr>
          <w:p>
            <w:pPr>
              <w:pStyle w:val="TableContents"/>
              <w:bidi w:val="0"/>
              <w:spacing w:before="0" w:after="283"/>
              <w:jc w:val="left"/>
              <w:rPr/>
            </w:pPr>
            <w:r>
              <w:rPr/>
              <w:t> </w:t>
            </w:r>
          </w:p>
        </w:tc>
        <w:tc>
          <w:tcPr>
            <w:tcW w:w="245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16, 2026</w:t>
            </w:r>
          </w:p>
        </w:tc>
        <w:tc>
          <w:tcPr>
            <w:tcW w:w="560" w:type="dxa"/>
            <w:tcBorders/>
            <w:vAlign w:val="center"/>
          </w:tcPr>
          <w:p>
            <w:pPr>
              <w:pStyle w:val="TableContents"/>
              <w:bidi w:val="0"/>
              <w:spacing w:before="0" w:after="283"/>
              <w:jc w:val="left"/>
              <w:rPr>
                <w:sz w:val="20"/>
              </w:rPr>
            </w:pPr>
            <w:r>
              <w:rPr>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Yi Yang</w:t>
            </w:r>
          </w:p>
        </w:tc>
      </w:tr>
      <w:tr>
        <w:trPr/>
        <w:tc>
          <w:tcPr>
            <w:tcW w:w="213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Name:</w:t>
            </w:r>
          </w:p>
        </w:tc>
        <w:tc>
          <w:tcPr>
            <w:tcW w:w="1895" w:type="dxa"/>
            <w:tcBorders/>
            <w:vAlign w:val="center"/>
          </w:tcPr>
          <w:p>
            <w:pPr>
              <w:pStyle w:val="TableContents"/>
              <w:bidi w:val="0"/>
              <w:spacing w:before="0" w:after="283"/>
              <w:jc w:val="left"/>
              <w:rPr>
                <w:sz w:val="20"/>
              </w:rPr>
            </w:pPr>
            <w:r>
              <w:rPr>
                <w:sz w:val="20"/>
              </w:rPr>
              <w:t>Yi Yang</w:t>
            </w:r>
          </w:p>
        </w:tc>
      </w:tr>
      <w:tr>
        <w:trPr/>
        <w:tc>
          <w:tcPr>
            <w:tcW w:w="213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Title: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5541d1_ex99-1.htm"/>
      <w:bookmarkStart w:id="3" w:name="kstm2625541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BALANCE SHEETS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60"/>
        <w:gridCol w:w="60"/>
        <w:gridCol w:w="137"/>
        <w:gridCol w:w="836"/>
        <w:gridCol w:w="80"/>
        <w:gridCol w:w="60"/>
        <w:gridCol w:w="166"/>
        <w:gridCol w:w="1009"/>
        <w:gridCol w:w="97"/>
      </w:tblGrid>
      <w:tr>
        <w:trPr/>
        <w:tc>
          <w:tcPr>
            <w:tcW w:w="7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for vehicle purchase and other current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21,237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31,994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33,069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33,016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8,963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11,088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 AND CONTINGENCIES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(par value of $20.25 per share; 1,076,699,522 shares authorized, 22,023,342 and 1,418,653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445,972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(par value of $20.25 per share; 20,000,000 shares authorized, 144,667 and 144,667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D convertible preferred shares (par value of $0.0001, 6,000 shares authorized, issued and outstanding as of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F convertible preferred shares (par value of 0.00005, 50,005 shares authorized, 23,900 and 30,500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G convertible preferred shares (par value of 0.00075, 50,000 shares authorized, 12,800 and 12,800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H convertible preferred shares (par value of 0.00075, 50,000 shares authorized, 7,366 and 7,366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I convertible preferred shares (par value of 0.00075, 50,000 shares authorized, 10,000 and 10,000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437,639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(433,365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(431,450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KAIXIN HOLDINGS’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21,928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21,928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33,069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33,016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LOSS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9073" w:type="dxa"/>
        <w:jc w:val="left"/>
        <w:tblInd w:w="0" w:type="dxa"/>
        <w:tblLayout w:type="fixed"/>
        <w:tblCellMar>
          <w:top w:w="0" w:type="dxa"/>
          <w:left w:w="0" w:type="dxa"/>
          <w:bottom w:w="0" w:type="dxa"/>
          <w:right w:w="0" w:type="dxa"/>
        </w:tblCellMar>
      </w:tblPr>
      <w:tblGrid>
        <w:gridCol w:w="6800"/>
        <w:gridCol w:w="60"/>
        <w:gridCol w:w="133"/>
        <w:gridCol w:w="1012"/>
        <w:gridCol w:w="85"/>
        <w:gridCol w:w="63"/>
        <w:gridCol w:w="133"/>
        <w:gridCol w:w="692"/>
        <w:gridCol w:w="95"/>
      </w:tblGrid>
      <w:tr>
        <w:trPr/>
        <w:tc>
          <w:tcPr>
            <w:tcW w:w="6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8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(1,994</w:t>
            </w:r>
          </w:p>
        </w:tc>
        <w:tc>
          <w:tcPr>
            <w:tcW w:w="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(8,696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equity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 PROVISION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(2,041</w:t>
            </w:r>
          </w:p>
        </w:tc>
        <w:tc>
          <w:tcPr>
            <w:tcW w:w="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(8,688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(1,915</w:t>
            </w:r>
          </w:p>
        </w:tc>
        <w:tc>
          <w:tcPr>
            <w:tcW w:w="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(8,412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KAIXIN’S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(1,915</w:t>
            </w:r>
          </w:p>
        </w:tc>
        <w:tc>
          <w:tcPr>
            <w:tcW w:w="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(8,411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(1,915</w:t>
            </w:r>
          </w:p>
        </w:tc>
        <w:tc>
          <w:tcPr>
            <w:tcW w:w="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(8,412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(1,910</w:t>
            </w:r>
          </w:p>
        </w:tc>
        <w:tc>
          <w:tcPr>
            <w:tcW w:w="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(8,405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loss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ATTRIBUTABLE TO KAIXIN’S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(1,910</w:t>
            </w:r>
          </w:p>
        </w:tc>
        <w:tc>
          <w:tcPr>
            <w:tcW w:w="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(8,405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used in calculating net loss per share*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10,036,430</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Retroactively restated to accommodate a </w:t>
      </w:r>
      <w:r>
        <w:rPr>
          <w:rFonts w:ascii="Times New Roman;Times;Serif" w:hAnsi="Times New Roman;Times;Serif"/>
          <w:b w:val="false"/>
          <w:i w:val="false"/>
          <w:caps w:val="false"/>
          <w:smallCaps w:val="false"/>
          <w:sz w:val="20"/>
          <w:shd w:fill="FFFFFF" w:val="clear"/>
        </w:rPr>
        <w:t xml:space="preserve">share consolidation at a ratio for one - for - fifteenth ordinary shares and an increase in authorized share capital from $1,505,316,695 to $22,208,165,528 effective on March 13, 2026. </w:t>
      </w:r>
      <w:r>
        <w:rPr>
          <w:rFonts w:ascii="Times New Roman;Times;Serif" w:hAnsi="Times New Roman;Times;Serif"/>
          <w:b w:val="false"/>
          <w:i w:val="false"/>
          <w:caps w:val="false"/>
          <w:smallCaps w:val="false"/>
          <w:sz w:val="20"/>
        </w:rPr>
        <w:t>(Note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CHANGES IN EQUITY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1820" w:type="dxa"/>
        <w:jc w:val="left"/>
        <w:tblInd w:w="0" w:type="dxa"/>
        <w:tblLayout w:type="fixed"/>
        <w:tblCellMar>
          <w:top w:w="0" w:type="dxa"/>
          <w:left w:w="0" w:type="dxa"/>
          <w:bottom w:w="0" w:type="dxa"/>
          <w:right w:w="0" w:type="dxa"/>
        </w:tblCellMar>
      </w:tblPr>
      <w:tblGrid>
        <w:gridCol w:w="830"/>
        <w:gridCol w:w="60"/>
        <w:gridCol w:w="60"/>
        <w:gridCol w:w="470"/>
        <w:gridCol w:w="65"/>
        <w:gridCol w:w="60"/>
        <w:gridCol w:w="129"/>
        <w:gridCol w:w="356"/>
        <w:gridCol w:w="65"/>
        <w:gridCol w:w="60"/>
        <w:gridCol w:w="60"/>
        <w:gridCol w:w="680"/>
        <w:gridCol w:w="60"/>
        <w:gridCol w:w="95"/>
        <w:gridCol w:w="500"/>
        <w:gridCol w:w="60"/>
        <w:gridCol w:w="60"/>
        <w:gridCol w:w="605"/>
        <w:gridCol w:w="60"/>
        <w:gridCol w:w="103"/>
        <w:gridCol w:w="382"/>
        <w:gridCol w:w="60"/>
        <w:gridCol w:w="98"/>
        <w:gridCol w:w="567"/>
        <w:gridCol w:w="65"/>
        <w:gridCol w:w="60"/>
        <w:gridCol w:w="131"/>
        <w:gridCol w:w="654"/>
        <w:gridCol w:w="65"/>
        <w:gridCol w:w="60"/>
        <w:gridCol w:w="157"/>
        <w:gridCol w:w="433"/>
        <w:gridCol w:w="60"/>
        <w:gridCol w:w="60"/>
        <w:gridCol w:w="116"/>
        <w:gridCol w:w="669"/>
        <w:gridCol w:w="65"/>
        <w:gridCol w:w="60"/>
        <w:gridCol w:w="199"/>
        <w:gridCol w:w="736"/>
        <w:gridCol w:w="60"/>
        <w:gridCol w:w="134"/>
        <w:gridCol w:w="666"/>
        <w:gridCol w:w="65"/>
        <w:gridCol w:w="60"/>
        <w:gridCol w:w="185"/>
        <w:gridCol w:w="510"/>
        <w:gridCol w:w="65"/>
        <w:gridCol w:w="60"/>
        <w:gridCol w:w="134"/>
        <w:gridCol w:w="666"/>
        <w:gridCol w:w="80"/>
      </w:tblGrid>
      <w:tr>
        <w:trPr/>
        <w:tc>
          <w:tcPr>
            <w:tcW w:w="8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Preferred 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Class A Ordinary</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Class B Ordinary</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Additional</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paid-in</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capital</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Subscription</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receivable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Statutory</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reserve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deficit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Other</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Comprehensive</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(loss) 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shareholders’</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equity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Non-</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controlling</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interest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shareholders’</w:t>
            </w:r>
          </w:p>
          <w:p>
            <w:pPr>
              <w:pStyle w:val="TableContents"/>
              <w:bidi w:val="0"/>
              <w:spacing w:before="0" w:after="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Equity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Balance as of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68,666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35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12,198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2,444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406,344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5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(17,900</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(377,543</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1,963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13,173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13,174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(53,907</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(53,907</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(53,908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ordinary shares for conversion of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17,971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614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638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Vesting of restricted shares award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458,849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2,133,334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21,905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25,405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25,405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ordinary shares for conversion of convertible 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(12,000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5,620,000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(7,585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ordinary shares to the buyer of Morning Star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7,799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Share-based consideration on acquisition of a subsidiary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8,562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28,812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28,812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Disposal of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Foreign currency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Balance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66,666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1,418,653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28,728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144,667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2,930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437,639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(17,900</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(431,450</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1,970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21,928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21,928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(1,915</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(1,915</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Vesting of restricted shares award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549</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 based consideration on acquisition of a subsidiary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283,500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(283,500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Issuance of ordinary shares for conversion of Series F </w:t>
              <w:br/>
              <w:t xml:space="preserve">  </w:t>
              <w:br/>
              <w:t xml:space="preserve">convertible preferred shares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(6,600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6,600,000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133,650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(133,650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ordinary shares and warrant for private placement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1,060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1,060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Foreign currency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Balance as of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60,066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3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22,023,342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445,972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144,667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3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2,930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22,098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(17,900</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(433,365</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1,975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21,721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21,721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Retroactively restated to accommodate a </w:t>
      </w:r>
      <w:r>
        <w:rPr>
          <w:rFonts w:ascii="Times New Roman;Times;Serif" w:hAnsi="Times New Roman;Times;Serif"/>
          <w:b w:val="false"/>
          <w:i w:val="false"/>
          <w:caps w:val="false"/>
          <w:smallCaps w:val="false"/>
          <w:sz w:val="20"/>
          <w:shd w:fill="FFFFFF" w:val="clear"/>
        </w:rPr>
        <w:t xml:space="preserve">share consolidation at a ratio for one - for - fifteenth ordinary shares and an increase in authorized share capital from $1,505,316,695 to $22,208,165,528 effective on March 13, 2026. </w:t>
      </w:r>
      <w:r>
        <w:rPr>
          <w:rFonts w:ascii="Times New Roman;Times;Serif" w:hAnsi="Times New Roman;Times;Serif"/>
          <w:b w:val="false"/>
          <w:i w:val="false"/>
          <w:caps w:val="false"/>
          <w:smallCaps w:val="false"/>
          <w:sz w:val="20"/>
        </w:rPr>
        <w:t>(Note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CASH FLOWS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8902" w:type="dxa"/>
        <w:jc w:val="left"/>
        <w:tblInd w:w="0" w:type="dxa"/>
        <w:tblLayout w:type="fixed"/>
        <w:tblCellMar>
          <w:top w:w="0" w:type="dxa"/>
          <w:left w:w="0" w:type="dxa"/>
          <w:bottom w:w="0" w:type="dxa"/>
          <w:right w:w="0" w:type="dxa"/>
        </w:tblCellMar>
      </w:tblPr>
      <w:tblGrid>
        <w:gridCol w:w="6470"/>
        <w:gridCol w:w="60"/>
        <w:gridCol w:w="179"/>
        <w:gridCol w:w="780"/>
        <w:gridCol w:w="114"/>
        <w:gridCol w:w="85"/>
        <w:gridCol w:w="179"/>
        <w:gridCol w:w="780"/>
        <w:gridCol w:w="255"/>
      </w:tblGrid>
      <w:tr>
        <w:trPr/>
        <w:tc>
          <w:tcPr>
            <w:tcW w:w="6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9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w:t>
            </w:r>
          </w:p>
        </w:tc>
        <w:tc>
          <w:tcPr>
            <w:tcW w:w="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ind w:left="0" w:right="0" w:firstLine="180"/>
              <w:jc w:val="left"/>
              <w:rPr/>
            </w:pPr>
            <w:r>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sales of a subsidiary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contribution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55" w:type="dxa"/>
            <w:tcBorders/>
            <w:shd w:fill="FFFF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borrowings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changes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2,388</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at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679</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552</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 OF NON-CASH FLOW INFORMATION:</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in connection with conversion of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85"/>
        <w:gridCol w:w="43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43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ORGANIZATION AND PRINCIPAL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Holdings (“the Company” or “KX”), was incorporated in the Cayman Islands in 2016.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2021, KX completed a business combination with Haitaoche Limited (“Haitaoche”, or “HTC”), resulting in KX acquiring 100% of the share capital of Haitaoche in exchange for an aggregate of 4,935,700 ordinary shares, which was issued to several former shareholders of Haitaoche. The business combination was treated as a reverse acquisition of KX under ASC 805, using the acquisition method of accounting, and Haitaoche was deemed to be the accounting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reverse acquisition, KX is the consolidated parent of Haitaoche and the resulting company operates under the KX corporate name. Haitaoche’s historical financial statements became the historical financial statements of the Group. The acquired assets and liabilities of KX are included in the Group’s consolidated balance sheets since June 25, 2021 and the results of its operations and cash flows are included in the Group’s consolidated statement of operations and comprehensive loss and cash flows for periods beginning after June 25,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2023, the Group effected a share consolidation at a ratio of one-for-fifteenth (15) ordinary shares with a par value of US$0.00005 each in the Group’s issued and unissued share capital into one ordinary share with a par value of US$0.00075 (“the 2023 Share Consolidation”). Immediately following the Share Consolidation, the authorized share capital of the Group to be US $50,000 divided into (a) 660,461,733 Class A ordinary shares of a par value of US $0.00075 each, (b) 6,000,000 Class B ordinary shares of a par value of US $0.00075 each, (c) 6,000 Series A convertible preferred shares of a par value of US $0.0001 each, (d) 6,000 Series D convertible preferred shares of a par value of US $0.0001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and (i) 50,000 Series J convertible preferred shares of a par value of US$0.00075 each” to “US$36,500,000 divided into (a) 48,660,461,733 Class A ordinary shares of a par value of US$0.00075 each, (b) 6,000,000 Class B ordinary shares of a par value of US$0.00075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and (i) 50,000 Series J convertible preferred shares of a par value of US$0.00075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2024, the Group effected changes of share capital structure as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71" w:type="dxa"/>
            <w:tcBorders/>
            <w:vAlign w:val="center"/>
          </w:tcPr>
          <w:p>
            <w:pPr>
              <w:pStyle w:val="TableContents"/>
              <w:bidi w:val="0"/>
              <w:spacing w:before="0" w:after="283"/>
              <w:jc w:val="both"/>
              <w:rPr/>
            </w:pPr>
            <w:r>
              <w:rPr/>
              <w:t>an increase of authorized share capital from $500,000 to $36,500,000 by creation of an additional 48,000,000,000 Class A ordinary shares of a par value of US$0.00075 each.</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85"/>
        <w:gridCol w:w="489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ORGANIZATION AND PRINCIPAL ACTIVITIES</w:t>
            </w:r>
            <w:r>
              <w:rPr>
                <w:rFonts w:ascii="Times New Roman;Times;Serif" w:hAnsi="Times New Roman;Times;Serif"/>
                <w:sz w:val="20"/>
              </w:rPr>
              <w:t xml:space="preserve"> (cont.)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(ii)</w:t>
            </w:r>
          </w:p>
        </w:tc>
        <w:tc>
          <w:tcPr>
            <w:tcW w:w="9949" w:type="dxa"/>
            <w:tcBorders/>
            <w:vAlign w:val="center"/>
          </w:tcPr>
          <w:p>
            <w:pPr>
              <w:pStyle w:val="TableContents"/>
              <w:bidi w:val="0"/>
              <w:spacing w:before="0" w:after="283"/>
              <w:jc w:val="both"/>
              <w:rPr/>
            </w:pPr>
            <w:r>
              <w:rPr/>
              <w:t>redesignation of (i) 894,000,000 authorised but unissued Class A ordinary shares of a par value of US$0.00075 each in the authorised share capital of the Company be re-designated and re-classified as 894,000,000 Class B ordinary shares of a par value of US$0.00075 each; and (ii) 71,733 authorised but unissued Class A ordinary shares of a par value of US$0.00075 each in the authorised share capital of the Company be re-designated and re-classified as 71,733 Series K convertible preferred shares of a par value of US$0.00075 each, such that the authorised share capital of the Company shall be changed to $36,500,000 divided into (a) 47,766,390,000 Class A ordinary shares of a par value of US$0.00075 each, (b) 900,000,000 Class B ordinary shares of a par value of US$0.00075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w:t>
            </w:r>
          </w:p>
        </w:tc>
      </w:tr>
    </w:tbl>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(iii)</w:t>
            </w:r>
          </w:p>
        </w:tc>
        <w:tc>
          <w:tcPr>
            <w:tcW w:w="9888" w:type="dxa"/>
            <w:tcBorders/>
            <w:vAlign w:val="center"/>
          </w:tcPr>
          <w:p>
            <w:pPr>
              <w:pStyle w:val="TableContents"/>
              <w:bidi w:val="0"/>
              <w:spacing w:before="0" w:after="283"/>
              <w:jc w:val="both"/>
              <w:rPr/>
            </w:pPr>
            <w:r>
              <w:rPr/>
              <w:t>share consolidation at a ratio of one-for-sixty (60) ordinary shares with a par value of US$0.00075 each in the Group’s issued and unissued share capital into one ordinary share with a par value of US$0.0045 (“the 2024 Share Consolidation”). Immediately following the Share Consolidation, the authorized share capital of the Group to be US$36,500,000 divided into (a) 796,106,500 Class A ordinary shares of a par value of US$0.045 each, (b) 15,000,000 Class B ordinary shares of a par value of US$0.045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the Group effected a share consolidation at a ratio of 1-for-30 (“2025 Share Consolidation”) of its ordinary shares, par value $0.045 each, at a ratio of 1-for-30, with a post-share consolidation par value $1.35 each. After giving effect of the contemplated Share Consolidation, the authorized share capital of the Company is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US$1,505,316,695 divided into (a) 1,015,049,250 Class A ordinary shares of a par value of US$1.35 each, (b) 100,000,000 Class B ordinary shares of a par value of US$1.35 each, (c) 6,000 Series A convertible preferred shares of a par value of US$0.0001 each, (d) 6,000 Series D convertible preferred shares of a par value of US$0.0001 each, (e)50,005 Series F convertible preferred shares of a par value of US$0.00005 each, (f) 50,000 Series G convertible preferred shares of a par value of US$0.00075 each, (g)50,000 Series H convertible preferred shares of a par value of US$0.00075 each, (h) 50,000 Series I convertible preferred shares of a par value of US$0.00075 each, (i)50,000 Series J convertible preferred shares of a par value of US$0.00075 each, and (j) 71,733 Series K convertible preferred shares of a par value of US$0.00075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Group effected a share consolidation at a ratio of 1-for-15 of its ordinary shares, par value $1.35 each, at a ratio of 1-for-15, with a post-share consolidation par value $20.25 each. After giving effect of the contemplated Share Consolidation, the authorized share capital of the Company is US$22,208,165,528 divided into (a) 1,076,699,522 Class A ordinary shares of a par value of US$20.25 each, (b) 20,000,000 Class B ordinary shares of a par value of US$20.25 each, (c) 6,000 Series A convertible preferred shares of a par value of US$0.0001 each, (d) 6,000 Series D convertible preferred shares of a par value of US$0.0001 each, (e)50,005 Series F convertible preferred shares of a par value of US$0.00005 each, (f) 50,000 Series G convertible preferred shares of a par value of US$0.00075 each, (g)50,000 Series H convertible preferred shares of a par value of US$0.00075 each, (h) 50,000 Series I convertible preferred shares of a par value of US$0.00075 each, (i)50,000 Series J convertible preferred shares of a par value of US$0.00075 each, and (j) 71,733 Series K convertible preferred shares of a par value of US$0.00075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85"/>
        <w:gridCol w:w="489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ORGANIZATION AND PRINCIPAL ACTIVITIES</w:t>
            </w:r>
            <w:r>
              <w:rPr>
                <w:rFonts w:ascii="Times New Roman;Times;Serif" w:hAnsi="Times New Roman;Times;Serif"/>
                <w:sz w:val="20"/>
              </w:rPr>
              <w:t xml:space="preserve"> (cont.)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Setup of new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Group, through one of its subsidiaries in the PRC, set up one subsidiary, namely, Zhejiang Ordinary Smile Auto Sales Co. Ltd. Beijing Branch. The Group owned 100% equity interest in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Disposition of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Group disposed of certain subsidiaries. The details are as follows:</w:t>
      </w:r>
    </w:p>
    <w:p>
      <w:pPr>
        <w:pStyle w:val="TextBody"/>
        <w:bidi w:val="0"/>
        <w:spacing w:before="0" w:after="0"/>
        <w:ind w:left="0" w:right="0" w:hanging="0"/>
        <w:jc w:val="both"/>
        <w:rPr>
          <w:caps w:val="false"/>
          <w:smallCaps w:val="false"/>
        </w:rPr>
      </w:pPr>
      <w:r>
        <w:rPr>
          <w:caps w:val="false"/>
          <w:smallCaps w:val="false"/>
        </w:rPr>
        <w:t> </w:t>
      </w:r>
    </w:p>
    <w:tbl>
      <w:tblPr>
        <w:tblW w:w="7474" w:type="dxa"/>
        <w:jc w:val="left"/>
        <w:tblInd w:w="0" w:type="dxa"/>
        <w:tblLayout w:type="fixed"/>
        <w:tblCellMar>
          <w:top w:w="0" w:type="dxa"/>
          <w:left w:w="0" w:type="dxa"/>
          <w:bottom w:w="0" w:type="dxa"/>
          <w:right w:w="0" w:type="dxa"/>
        </w:tblCellMar>
      </w:tblPr>
      <w:tblGrid>
        <w:gridCol w:w="3950"/>
        <w:gridCol w:w="60"/>
        <w:gridCol w:w="128"/>
        <w:gridCol w:w="1856"/>
        <w:gridCol w:w="60"/>
        <w:gridCol w:w="60"/>
        <w:gridCol w:w="1160"/>
        <w:gridCol w:w="200"/>
      </w:tblGrid>
      <w:tr>
        <w:trPr/>
        <w:tc>
          <w:tcPr>
            <w:tcW w:w="39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&amp;NegativeThickSpace;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&amp;NegativeThickSpace;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&amp;NegativeThickSpace;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Disposed Subsidiaries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disposal</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Zhejiang Kaixin Changxing Auto Sales Co. Ltd.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15,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Zhejiang Kaixin Zhihui Auto Co. Ltd.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7,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Zhejiang Kaixin Jingtao Auto Sales Co. Ltd.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4,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Zhejiang Kaixin Wuxian Auto Tech Co. Ltd.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believed that none of the disposition of the Kaixin subsidiaries represent a strategic shift that has (or will have) a major effect on the Group’s operations and financial results. The transfers of equity in subsidiaries or the disposition of subsidiaries are not accounted for as discontinued operations in accordance with ASC 205-20.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consolidated subsidiaries are collectively referred to as the “Group”. The Group is primarily engaged in sales of domestic automobiles and the used car sales business in the People’s Republic of China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subsidiaries of the Company as of June 30, 2026 are summarized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4"/>
        <w:gridCol w:w="60"/>
        <w:gridCol w:w="1476"/>
        <w:gridCol w:w="60"/>
        <w:gridCol w:w="1220"/>
        <w:gridCol w:w="60"/>
        <w:gridCol w:w="140"/>
        <w:gridCol w:w="795"/>
        <w:gridCol w:w="185"/>
        <w:gridCol w:w="60"/>
        <w:gridCol w:w="2605"/>
      </w:tblGrid>
      <w:tr>
        <w:trPr/>
        <w:tc>
          <w:tcPr>
            <w:tcW w:w="35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Later of date of</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tcBorders/>
            <w:vAlign w:val="center"/>
          </w:tcPr>
          <w:p>
            <w:pPr>
              <w:pStyle w:val="TableContents"/>
              <w:bidi w:val="0"/>
              <w:spacing w:before="0" w:after="283"/>
              <w:jc w:val="center"/>
              <w:rPr/>
            </w:pPr>
            <w:r>
              <w:rPr/>
              <w:t> </w:t>
            </w:r>
          </w:p>
        </w:tc>
      </w:tr>
      <w:tr>
        <w:trPr/>
        <w:tc>
          <w:tcPr>
            <w:tcW w:w="35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tc>
      </w:tr>
      <w:tr>
        <w:trPr/>
        <w:tc>
          <w:tcPr>
            <w:tcW w:w="354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Subsidiaries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5" w:type="dxa"/>
            <w:tcBorders>
              <w:bottom w:val="single" w:sz="8" w:space="0" w:color="000000"/>
            </w:tcBorders>
            <w:tcMar>
              <w:bottom w:w="28" w:type="dxa"/>
            </w:tcMar>
            <w:vAlign w:val="center"/>
          </w:tcPr>
          <w:p>
            <w:pPr>
              <w:pStyle w:val="TableContents"/>
              <w:bidi w:val="0"/>
              <w:spacing w:before="0" w:after="283"/>
              <w:ind w:left="0" w:right="0" w:hanging="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Activities</w:t>
            </w:r>
          </w:p>
        </w:tc>
      </w:tr>
      <w:tr>
        <w:trPr/>
        <w:tc>
          <w:tcPr>
            <w:tcW w:w="3544"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Major subsidiaries:</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5" w:type="dxa"/>
            <w:tcBorders/>
            <w:shd w:fill="CCEEFF" w:val="clear"/>
            <w:vAlign w:val="center"/>
          </w:tcPr>
          <w:p>
            <w:pPr>
              <w:pStyle w:val="TableContents"/>
              <w:bidi w:val="0"/>
              <w:spacing w:before="0" w:after="283"/>
              <w:ind w:left="0" w:right="0" w:hanging="360"/>
              <w:jc w:val="right"/>
              <w:rPr/>
            </w:pPr>
            <w:r>
              <w:rPr/>
              <w:t> </w:t>
            </w:r>
          </w:p>
        </w:tc>
      </w:tr>
      <w:tr>
        <w:trPr/>
        <w:tc>
          <w:tcPr>
            <w:tcW w:w="35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Jet Sound Hong Kong Company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5" w:type="dxa"/>
            <w:tcBorders/>
            <w:shd w:fill="FFFFFF" w:val="clear"/>
            <w:vAlign w:val="center"/>
          </w:tcPr>
          <w:p>
            <w:pPr>
              <w:pStyle w:val="TableContents"/>
              <w:bidi w:val="0"/>
              <w:spacing w:before="0" w:after="283"/>
              <w:ind w:left="0" w:right="0" w:hanging="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 trading business; investment</w:t>
            </w:r>
          </w:p>
        </w:tc>
      </w:tr>
      <w:tr>
        <w:trPr/>
        <w:tc>
          <w:tcPr>
            <w:tcW w:w="35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Zhejiang Kaixin Auto Co., Ltd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4,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5" w:type="dxa"/>
            <w:tcBorders/>
            <w:shd w:fill="CCEEFF" w:val="clear"/>
            <w:vAlign w:val="center"/>
          </w:tcPr>
          <w:p>
            <w:pPr>
              <w:pStyle w:val="TableContents"/>
              <w:bidi w:val="0"/>
              <w:spacing w:before="0" w:after="283"/>
              <w:ind w:left="0" w:right="0" w:hanging="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 trading business</w:t>
            </w:r>
          </w:p>
        </w:tc>
      </w:tr>
      <w:tr>
        <w:trPr/>
        <w:tc>
          <w:tcPr>
            <w:tcW w:w="35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Zhejiang Ordinary Smile Auto Sales Co. Ltd.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 trading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85"/>
        <w:gridCol w:w="501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50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17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have been prepared in accordance with the rules and regulations of the Security and Exchange Commission and accounting principles generally accepted in the United States of America (“U.S. GAAP”) for interim financial reporting. Certain information and footnote disclosures normally included in financial statements prepared in conformity with U.S. GAAP have been condensed or omitted pursuant to such rules and regulations. Accordingly, these statements should be read in conjunction with the Company’s audited consolidated financial statements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management, the accompanying unaudited condensed consolidated financial statements reflect all normal recurring adjustments, which are necessary for a fair presentation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2025. The results of operations for the six months ended June 30, 2026 are not necessarily indicative of the results for the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have not been reviewed by an independent certified public accountant.</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260"/>
        <w:gridCol w:w="2360"/>
      </w:tblGrid>
      <w:tr>
        <w:trPr/>
        <w:tc>
          <w:tcPr>
            <w:tcW w:w="2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23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Going concern and 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reported a net loss of approximately $1.9 million and $8.4 million, respectively, and operating cash outflows of approximately $1.2 million and $1.5 million. For the six months ended June 30, 2026 and 2025, the Company reported a revenue of approximately $0.7 million and $0.1 million, respectively . As of June 30, 2026 and December 31, 2025, the Company reported accumulated deficits of approximately $433.4 million and $431.5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current assets of $ 1.6 million, including approximately $0.7 million in cash, which was highly liquid. In contrast, the Company had current liabilities of approximately $9.3 million. Of these current liabilities, other payables of $8.5 million are payable on demand and may be extended. These factors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two major shareholders of the Company have agreed to consider providing necessary financial support in the form of debt and/or equity to the Company to enable the Company to meet its other liabilities and commitments as they become due for at least twelve months from the issuance date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believes that the Company will continue as a going concern in the following 12 months from the date the Company issued the unaudited condensed consolidated financial statements for the six months ended June 30, 2026. The accompanying unaudited condensed consolidated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185"/>
        <w:gridCol w:w="635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3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 (CONTINUED)</w:t>
            </w:r>
          </w:p>
        </w:tc>
      </w:tr>
    </w:tbl>
    <w:p>
      <w:pPr>
        <w:pStyle w:val="TextBody"/>
        <w:bidi w:val="0"/>
        <w:spacing w:before="0" w:after="0"/>
        <w:ind w:left="0" w:right="0" w:hanging="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45"/>
        <w:gridCol w:w="2000"/>
      </w:tblGrid>
      <w:tr>
        <w:trPr/>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20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Fair value measurement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are based upon unadjusted quoted prices for identical assets or liabilities traded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are based upon quoted prices for similar assets and liabilities in active markets, quoted prices for identical or similar assets and liabilities in markets that are not active and model-based valuation techniques for which all significant assumptions are observable in the market or can be corroborated by observable market data for substantially the full term of the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Assets measured at fair value on a 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Group considers the carrying amount of cash and cash equivalents, accounts receivable, other receivables, short-term bank loans, accounts payable, amounts due to related parties, other payables and income tax payable based on the short-term maturity of these instruments to approximate their fair values because of their short-term nature. Warrants were measured at fair value using unobservable inputs and categorized in Level 3 of the fair value hierarchy. There have been no transfers between Level 1, Level 2, or Level 3 categories during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Assets measured at fair value on a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measures its property, equipment, and intangible assets at fair value on a nonrecurring basis whenever events or changes in circumstances indicate that the carrying value may no longer be recoverable. The Group measures the purchase price allocation at fair value on a nonrecurring basis as of the acquisition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evaluated for impairment annually or more frequently if events or conditions indicate the carrying value of a reporting unit may be greater than its fair value. Impairment testing compares the carrying amount of the reporting unit with its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no impairment was recognized against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185"/>
        <w:gridCol w:w="635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3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 (CONTINUED)</w:t>
            </w:r>
          </w:p>
        </w:tc>
      </w:tr>
    </w:tbl>
    <w:p>
      <w:pPr>
        <w:pStyle w:val="TextBody"/>
        <w:bidi w:val="0"/>
        <w:spacing w:before="0" w:after="0"/>
        <w:ind w:left="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60"/>
        <w:gridCol w:w="800"/>
      </w:tblGrid>
      <w:tr>
        <w:trPr/>
        <w:tc>
          <w:tcPr>
            <w:tcW w:w="2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w:t>
            </w:r>
          </w:p>
        </w:tc>
        <w:tc>
          <w:tcPr>
            <w:tcW w:w="8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accounts for warrants as either equity-classified or liability-classified instruments based on an assessment of the warrant’s specific terms and applicable authoritative guidance in Financial Accounting Standards Board (“FASB”) Accounting Standards Codification (“ASC”) 480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Distinguishing Liabilities from Equity (“ASC 480”) and ASC 815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Group’s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with changes in fair value recognized in the statements of operations in the period of change.</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45"/>
        <w:gridCol w:w="1730"/>
      </w:tblGrid>
      <w:tr>
        <w:trPr/>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w:t>
            </w:r>
          </w:p>
        </w:tc>
        <w:tc>
          <w:tcPr>
            <w:tcW w:w="17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primarily sells automobiles to car dealers and individual customers through signing written sales contracts. The Group presents the revenue generated from its sales of automobiles on a gross basis as the Group is a principal based on the fact that the Group is primarily responsible for fulfilling the promise to deliver the specified used cars or new cars to the customers, the Group also has pricing discretion and obtains substantially all of the remaining benefits from the sale goods. Revenue is recognized at a point in time upon delivery, which usually coincide with the timing of the customer acceptance. For the six months ended June 30, 2026 and 2025, the Company recognized revenue of approximately $648 and $nil, respectively, from new-car wholesales. For the six months ended June 30, 2026, all revenues were obtained through the operations outside of mainland China conducted by Jet Sound Hong Kong Company Limited, the Company’s subsidiary based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Company commenced rendering consulting services related to the design and development of electric vehicles to customers. The Company identified one performance obligation in the agreements with customers. The transaction price is fixed. Revenue is recognized over the period using the input method. For the six months ended June 30, 2026 and 2025, the Company recognized revenues of $19 and $95 from consulting services,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are payments from customers for purchases and are deferred when the corresponding performance obligation has not been satisfied. They are recognized as revenue upon the Group transfers the control of products or services to the customers. The balances of advances from customers as of June 30, 2026 and December 31, 2025 were $733 and $6,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185"/>
        <w:gridCol w:w="635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3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 (CONTINUED)</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15"/>
        <w:gridCol w:w="2240"/>
      </w:tblGrid>
      <w:tr>
        <w:trPr/>
        <w:tc>
          <w:tcPr>
            <w:tcW w:w="2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w:t>
            </w:r>
          </w:p>
        </w:tc>
        <w:tc>
          <w:tcPr>
            <w:tcW w:w="224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Share-based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transactions with employees, such as share options are measured based on the grant date fair value of the equity instrument. The Company recognizes the compensation costs net of estimated forfeitures using the straight-line method, over the applicable vesting period.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stock compensation expense to be recognized in future periods. Share options granted to employees with market conditions attached are measured at fair value on the grant date and are recognized as the compensation costs over the estimated requisite service period, regardless of whether the market condition has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any of the terms or conditions of share options is accounted for as a modification of stock options. The Company calculates the incremental compensation cost of a modification as the excess of the fair value of the modified option over the fair value of the original option immediately before its terms are modified, measured based on the share price and other pertinent factors at the modification date. For vested options, the Company recognizes incremental compensation cost in the period the modification occurred. For unvested options, the Company recognizes, over the remaining requisite service period, the sum of the incremental compensation cost and the remaining unrecognized compensation cost for the original award on the modification date.</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260"/>
        <w:gridCol w:w="3665"/>
      </w:tblGrid>
      <w:tr>
        <w:trPr/>
        <w:tc>
          <w:tcPr>
            <w:tcW w:w="2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(g)</w:t>
            </w:r>
          </w:p>
        </w:tc>
        <w:tc>
          <w:tcPr>
            <w:tcW w:w="36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Recently issued accounting pronouncements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the FASB issued ASU 2025-05, which amends ASC 326-20 to provide a practical expedient for all entities which elect a practical expedient that assumes that current conditions as of the balance sheet date do not change for the remaining life of the asset in developing reasonable and supportable forecasts as part of estimating expected credit losses, and an accounting policy election for all entities, other than a public business entity, that elect the practical expedient related to the estimation of expected credit losses for current accounts receivable and current contract assets that arise from transactions accounted for under ASC 606. Under ASU 2025-05, an entity is required to disclose whether it has elected to use the practical expedient and, if so, whether it has also applied the accounting policy election. An entity that makes the accounting policy election is required to disclose the date through which subsequent cash collections are evaluated. ASU 2025-05 is effective for annual reporting periods beginning after December 15, 2025, and interim reporting periods within those annual reporting periods, with early adoption permitted. Entities should apply the new guidance prospectively.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FASB issued ASU 2025-01, “Income Statement – Comprehensive Income – Expense Disaggregation Disclosure (Subtopic 220-40): Clarifying the Effective Date.” This pronouncement revises the effective date of ASU 2024-03 and clarify that all public business entities are required to adopt the guidance in annual reporting periods beginning after December 15, 2026, and interim periods within annual reporting periods beginning after December 15, 2027. Entities within the ASU’s scope are permitted to early adopt the accounting standard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(Subtopic 220-40): Disaggregation of Income Statement Expenses.” This pronouncement introduces new disclosure requirements aimed at enhancing transparency in financial reporting by requiring disaggregation of specific income statement expense captions. Under the new guidance, entities are required to disclose a breakdown of certain expense categories, such as: employee compensation; depreciation; amortization, and other material components. The disaggregated information can be presented either on the face of the income statement or in the notes to the financial statements, often using a tabular format. The ASU is effective for fiscal years beginning after December 15, 2026, and interim periods within those fiscal years. Early adoption is permitted, and the disclosures in this standard are required to be applied on a prospective basis with the option to apply the standard retrospectively. The Company is currently evaluating these new disclosure requirements and does not expect the adoption to have a material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185"/>
        <w:gridCol w:w="635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3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 (CONTINUED)</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60"/>
        <w:gridCol w:w="4235"/>
      </w:tblGrid>
      <w:tr>
        <w:trPr/>
        <w:tc>
          <w:tcPr>
            <w:tcW w:w="2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(g)</w:t>
            </w:r>
          </w:p>
        </w:tc>
        <w:tc>
          <w:tcPr>
            <w:tcW w:w="423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Recently issued accounting pronouncements (cont.)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which is an update to Topic 740, Income Taxes. The amendments in this update related to the rate reconciliation and income taxes paid disclosures improve the transparency of income tax disclosures by requiring (1) adding disclosures of pretax income (or loss) and income tax expense (or benefit) to be consistent with U.S. Securities and Exchange Commission (SEC) Regulation S-X 210.4-08(h), Rules of General Application — General Notes to Financial Statements: Income Tax Expense, and (2) removing disclosures that no longer are considered cost beneficial or relevant. For public business entities, the amendments in this Update are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in this Update should be applied on a prospective basis. Retrospective application is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 Reporting — Overall, 440-10 Commitments — Overall, 470-10 Debt — Overall, 505-10 Equity — Overall, 815-10 Derivatives and Hedging — Overall, 860-30 Transfers and Servicing — Secured Borrowing and Collateral, 932-235 Extractive Activities — Oil and Gas — Notes to Financial Statements, 946-20 Financial Services — Investment Companies — Investment Company Activities, and 974-10 Real Estate — Real Estate Investment Trusts — Overall. The amendments represent changes to clarify or improve disclosure and presentation requirements of above subtopics.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FASB issued new accounting guidance, ASU 2023-01, for leasehold improvements associated with common control leases, which is effective for fiscal years beginning after December 15, 2023, including interim periods within those fiscal years. Early adoption is permitted for both interim and annual financial statements that have not yet been made available for issuance. The new guidance introduced two issues: terms and conditions to be considered with leases between related parties under common control and accounting for leasehold improvements. The goals for the new issues are to reduce the cost associated with implementing and applying Topic 842 and to promote diversity in practice by entities within the scope when applying lease accounting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but not yet effective accounting standards, if currently adopted, would have a material effect on the unaudited condensed consolidated balance sheets, unaudited condensed consolidated statements of income and comprehensive income and 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85"/>
        <w:gridCol w:w="27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27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DISPOSAL OF SUBSIDIARIES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disposed of no subsidiaries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Disposal of a subsidiary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2025, the Company entered into a share transfer agreement with a third-party individual, pursuant to which the Company transferred a 70% equity interest in Zhejiang Kaixin Jingtao Auto Sales Co. Ltd. (“Kaixin Jingtao”) for consideration of $2. Upon disposal, Kaixin Jingtao’s net assets were comprised of the following:</w:t>
      </w:r>
    </w:p>
    <w:p>
      <w:pPr>
        <w:pStyle w:val="TextBody"/>
        <w:bidi w:val="0"/>
        <w:spacing w:before="0" w:after="0"/>
        <w:ind w:left="0" w:right="0" w:hanging="0"/>
        <w:jc w:val="both"/>
        <w:rPr>
          <w:caps w:val="false"/>
          <w:smallCaps w:val="false"/>
        </w:rPr>
      </w:pPr>
      <w:r>
        <w:rPr>
          <w:caps w:val="false"/>
          <w:smallCaps w:val="false"/>
        </w:rPr>
        <w:t> </w:t>
      </w:r>
    </w:p>
    <w:tbl>
      <w:tblPr>
        <w:tblW w:w="7025" w:type="dxa"/>
        <w:jc w:val="left"/>
        <w:tblInd w:w="0" w:type="dxa"/>
        <w:tblLayout w:type="fixed"/>
        <w:tblCellMar>
          <w:top w:w="0" w:type="dxa"/>
          <w:left w:w="0" w:type="dxa"/>
          <w:bottom w:w="0" w:type="dxa"/>
          <w:right w:w="0" w:type="dxa"/>
        </w:tblCellMar>
      </w:tblPr>
      <w:tblGrid>
        <w:gridCol w:w="4610"/>
        <w:gridCol w:w="60"/>
        <w:gridCol w:w="125"/>
        <w:gridCol w:w="2135"/>
        <w:gridCol w:w="95"/>
      </w:tblGrid>
      <w:tr>
        <w:trPr/>
        <w:tc>
          <w:tcPr>
            <w:tcW w:w="46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&amp;NegativeThickSpace;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February 10,</w:t>
              <w:br/>
              <w:t>2025</w:t>
            </w:r>
          </w:p>
        </w:tc>
        <w:tc>
          <w:tcPr>
            <w:tcW w:w="95" w:type="dxa"/>
            <w:tcBorders/>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00FF" w:val="clear"/>
              </w:rPr>
              <w:t>&amp;NegativeThickSpace;</w:t>
            </w: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for vehicle purchase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00FF" w:val="clear"/>
              </w:rPr>
              <w:t>&amp;NegativeThickSpace;</w:t>
            </w:r>
            <w:r>
              <w:rPr>
                <w:rFonts w:ascii="Times New Roman;Times;Serif" w:hAnsi="Times New Roman;Times;Serif"/>
                <w:b w:val="false"/>
                <w:i w:val="false"/>
                <w:caps w:val="false"/>
                <w:smallCaps w:val="false"/>
                <w:sz w:val="20"/>
              </w:rPr>
              <w:t>70</w:t>
            </w:r>
          </w:p>
        </w:tc>
        <w:tc>
          <w:tcPr>
            <w:tcW w:w="95"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1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1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CCEE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on disposal of Kaixin Jingtao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185"/>
        <w:gridCol w:w="204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0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INTANGBILE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intangible assets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4370"/>
        <w:gridCol w:w="60"/>
        <w:gridCol w:w="126"/>
        <w:gridCol w:w="598"/>
        <w:gridCol w:w="80"/>
        <w:gridCol w:w="60"/>
        <w:gridCol w:w="189"/>
        <w:gridCol w:w="985"/>
        <w:gridCol w:w="95"/>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 identified in reverse acquisition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identified in acquisition of Morning Star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amortization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amortization expense was $509 and $1,862, respectively. The following is a schedule, by fiscal year, of the amortization amount of the intangible asset as of June 30, 2026:</w:t>
      </w:r>
    </w:p>
    <w:p>
      <w:pPr>
        <w:pStyle w:val="TextBody"/>
        <w:bidi w:val="0"/>
        <w:spacing w:before="0" w:after="0"/>
        <w:ind w:left="0" w:right="0" w:hanging="0"/>
        <w:jc w:val="both"/>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3695"/>
        <w:gridCol w:w="60"/>
        <w:gridCol w:w="125"/>
        <w:gridCol w:w="485"/>
        <w:gridCol w:w="75"/>
      </w:tblGrid>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December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45"/>
        <w:gridCol w:w="60"/>
        <w:gridCol w:w="4790"/>
      </w:tblGrid>
      <w:tr>
        <w:trPr/>
        <w:tc>
          <w:tcPr>
            <w:tcW w:w="245" w:type="dxa"/>
            <w:tcBorders/>
            <w:vAlign w:val="center"/>
          </w:tcPr>
          <w:p>
            <w:pPr>
              <w:pStyle w:val="TableContents"/>
              <w:bidi w:val="0"/>
              <w:spacing w:before="0" w:after="283"/>
              <w:jc w:val="left"/>
              <w:rPr/>
            </w:pPr>
            <w:r>
              <w:rPr/>
              <w:t> </w:t>
            </w:r>
            <w:r>
              <w:rPr>
                <w:rFonts w:ascii="Times New Roman;Times;Serif" w:hAnsi="Times New Roman;Times;Serif"/>
                <w:b/>
                <w:sz w:val="20"/>
              </w:rPr>
              <w:t>5.</w:t>
            </w:r>
          </w:p>
        </w:tc>
        <w:tc>
          <w:tcPr>
            <w:tcW w:w="60" w:type="dxa"/>
            <w:tcBorders/>
            <w:vAlign w:val="center"/>
          </w:tcPr>
          <w:p>
            <w:pPr>
              <w:pStyle w:val="TableContents"/>
              <w:bidi w:val="0"/>
              <w:spacing w:before="0" w:after="283"/>
              <w:jc w:val="both"/>
              <w:rPr/>
            </w:pPr>
            <w:r>
              <w:rPr/>
              <w:t> </w:t>
            </w:r>
          </w:p>
        </w:tc>
        <w:tc>
          <w:tcPr>
            <w:tcW w:w="47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 AND BALANCES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major related parties and their relationships with the Group:</w:t>
      </w:r>
    </w:p>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28" w:type="dxa"/>
          <w:right w:w="0" w:type="dxa"/>
        </w:tblCellMar>
      </w:tblPr>
      <w:tblGrid>
        <w:gridCol w:w="2375"/>
        <w:gridCol w:w="60"/>
        <w:gridCol w:w="5390"/>
      </w:tblGrid>
      <w:tr>
        <w:trPr/>
        <w:tc>
          <w:tcPr>
            <w:tcW w:w="2375" w:type="dxa"/>
            <w:tcBorders>
              <w:bottom w:val="single" w:sz="8"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5390" w:type="dxa"/>
            <w:tcBorders>
              <w:bottom w:val="single" w:sz="8"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Relationship</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Lin Mingjun (“Mr. Lin”)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9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A controlling shareholder and chief executive officer of the Group</w:t>
            </w:r>
          </w:p>
        </w:tc>
      </w:tr>
      <w:tr>
        <w:trPr/>
        <w:tc>
          <w:tcPr>
            <w:tcW w:w="23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Mrs. Yang Yi (“Mrs. Yang”)</w:t>
            </w:r>
          </w:p>
        </w:tc>
        <w:tc>
          <w:tcPr>
            <w:tcW w:w="60" w:type="dxa"/>
            <w:tcBorders/>
            <w:tcMar>
              <w:bottom w:w="0" w:type="dxa"/>
            </w:tcMar>
            <w:vAlign w:val="center"/>
          </w:tcPr>
          <w:p>
            <w:pPr>
              <w:pStyle w:val="TableContents"/>
              <w:bidi w:val="0"/>
              <w:spacing w:before="0" w:after="283"/>
              <w:jc w:val="left"/>
              <w:rPr/>
            </w:pPr>
            <w:r>
              <w:rPr/>
              <w:t> </w:t>
            </w:r>
          </w:p>
        </w:tc>
        <w:tc>
          <w:tcPr>
            <w:tcW w:w="53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of the Group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due to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significant amounts due to related parties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3028" w:type="dxa"/>
        <w:jc w:val="left"/>
        <w:tblInd w:w="0" w:type="dxa"/>
        <w:tblLayout w:type="fixed"/>
        <w:tblCellMar>
          <w:top w:w="0" w:type="dxa"/>
          <w:left w:w="0" w:type="dxa"/>
          <w:bottom w:w="0" w:type="dxa"/>
          <w:right w:w="0" w:type="dxa"/>
        </w:tblCellMar>
      </w:tblPr>
      <w:tblGrid>
        <w:gridCol w:w="875"/>
        <w:gridCol w:w="60"/>
        <w:gridCol w:w="234"/>
        <w:gridCol w:w="490"/>
        <w:gridCol w:w="60"/>
        <w:gridCol w:w="60"/>
        <w:gridCol w:w="319"/>
        <w:gridCol w:w="855"/>
        <w:gridCol w:w="75"/>
      </w:tblGrid>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Mrs. Yang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incorporated in the Cayman Islands. Under the current laws of the Cayman Islands, the Group is not subject to income or capital gains taxes. In addition, dividend payments are not subject to withholdings tax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2018, the Hong Kong Legislative Council passed The Inland Revenue (Amendment) Bill 2017 (the “Bill”) which introduces the two-tiered profits tax rates regime. The Bill was signed into law on March 28, 2018 and was announced on the following day. Under the two-tiered profits tax rates regime, the first 2 million Hong Kong Dollar (“HKD”) of profits of the qualifying group entity will be taxed at 8.25%, and profits above HKD 2 million will be taxed at 16.5%. The Group’s Hong Kong subsidiaries did not have significant assessable profits that were derived in Hong Kong for the six months ended June 30, 2026 and 2025. Therefore, no Hong Kong profit tax has been provided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PRC subsidiaries are subject to the PRC Enterprise Income Tax Law (“EIT Law”) and are taxed at the statutory income tax rate of 25%, unless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Group incurred deferred income tax benefits of $126 and $276, respectively.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85"/>
        <w:gridCol w:w="218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1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CONVERTIBLE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issued and sold two Convertible Promissory Notes (“Note A” and “Note B”, or collectively as “Notes”) to Streererville Capital, LLC (the “Lender”) on November 19, 2021 and April 8, 2022, respectively. The principal amount of each Note is $2,180 and contract terms of both Notes are substantially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each Notes was $2,000, calculated at principal of $2,180 less discount of $160 at issuance and the transaction expense of $20 in connection with the purchase and sale of the Securities. The Notes bore an interest at 8% per annum and is repayable in full in 18 months from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Securities Purchase Agreements of the Notes, the Group has option to repay the Notes in cash until it received the conversion notice from Lender or repayment date. The Lender also has the option to convert the Notes into ordinary shares at any time following the 6-month anniversary of the issuance date unless the outstanding balance was paid in full. The conversion price is $3.00 per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elect the fair value option for the convertible note. In addition, the Note did not have any embedded conversion option and redemption feature, which shall be bifurcated and separately accounted for as a derivative under ASC 815, nor did it contain a cash conversion feature or beneficial conversion feature. The Group accounted for two Notes as liabilities in its entirety following ASC 470 Debt and recorded interest expenses of $nil and $3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the Group issued 1,198 ordinary shares in the amount of $638 to fully settle the remaining portion of Note B. As of June 30, 2026 and 2025, the balances of convertible notes were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85"/>
        <w:gridCol w:w="48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48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MEZZANINE EQUITY AND WARRANT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2020, KX entered into a definitive securities purchase agreement with U.S. based KX Ventures 4 LLC (the “Investor”) and completed the initial closing on December 29,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the Investor will invest $6,000 in newly designated Series A convertible preferred shares (the “Series A Preferred Shares”) of KX. The first instalment of $3,000 closed on December 29, 2020 (the “First Closing”). The Series A Preferred Shares are convertible into 1,000,000 ordinary shares of KX’s at a conversion price of $180, subject to customary adjustments. Pursuant to the Purchase Agreement, the Investor will also receive warrants to subscribe for KX’s ordinary shares at an exercise price of $3.00 per share. The preferred shares and ordinary shares underlying the warrants are not subject to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3,000 convertible preferred shares at the First Closing, 1,500,000 Series A Warrants, 1,333,333, Series B Warrants and 2,000,000 Series C Warrants (collectively the “Warrants”) were issued to the Investor, with each warrant provided the holder the right to subscribe for KX’s ordinary shares at an exercise price of $180 per share. Series A and Series B Warrants are immediately exercisable, and Series C Warrants are exercisable upon exercise and in proportion to the number of Series B Warrants exercised. Series A, B and C warrants expire on December 29, 2027, August 29, 2024 and June 29, 2028,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Shares and Warrants are bundled transactions, which were considered as equity-linked instruments. The management has determined that there was beneficial conversion feature attributable to the preferred shares because the initial effective conversion prices of these preferred shares were lower than the fair value of KX’s ordinary shares at the relevant commitment dates, and the effect of beneficial conversion feature was recognized in additional paid-in capital. The fair value allocated to the Series A Preferred Shares was $1,310 at the date of the First Closing. The Warrants are classified as a liability and the fair value allocated to warrants was $1,690 as of the date of the First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classified the Series A Preferred Shares as mezzanine equity as they were contingently redeemable upon the occurrence of the redemption event which is outside the Group’s control. The Series A Preferred Shares was redeemable if the volume-weighted average price is less than $180 on the 54-month anniversary of December 29, 2020 (the “Original Issue Date”) and expired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accrete changes in the redemption value over the period from the date of issuance to the earliest redemption date (June 1, 2025) of the instrument using the interest method. In August 2021, total Series A preferred Shares of $3,000 were converted into 72,610 ordinary shares of the Group. As of June 30, 2026 and December 31, 2025, the Group had no outstanding Series A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classified as the warrant liability on the issuance date and were subsequently remeasured at fair value at each reporting date before the warrants are exercised or expire. Changes in the fair value of warrant liabilities were charged to the consolidated statements of operations and comprehensive loss. No warrants were exercised as of June 30, 2026. As of June 30, 2026 and December 31, 2025, the Group had outstanding warrant liabilities of $nil and $nil.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KNOWN AS 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both"/>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185"/>
        <w:gridCol w:w="80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8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2023, the Group effected a share consolidation at a ratio of one-for-fifteenth (15) ordinary shares with a par value of US$0.00005 each in the Group’s issued and unissued share capital into one ordinary share with a par value of US$0.00075 (“the First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2024, the Group effected a share consolidation at a ratio of one-for-sixty (60) ordinary shares with a par value of US $0.00075 each in the Group’s issued and unissued share capital into one ordinary share with a par value of US $0.0045 (“the Second Share Consolidation”). In addition, the Group also effected an increase in authorized share capital from $500,000 to $36,500,000, and a redesignation of ordinary shares into two-class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First and Second Share Consolidation, increase in authorized share capital and redesination of Class A and Class B Ordinary Shares, the authorized share capital of the Group to be US $36,500,000 divided into 796,106,500 Class A Ordinary Shares and 15,000,000 Class B Ordinary Shares, each at a par value of US$0.0045 per share, and 333,738 preferred shares, including (a) 6,000 Series A convertible preferred shares of a par value of US$0.0001 each, (b) 6,000 Series D convertible preferred shares of a par value of US$0.0001 each, (c) 50,005 Series F convertible preferred shares of a par value of US$0.00005 each, (d) 50,000 Series G convertible preferred shares of a par value of US$0.00075 each, (e) 50,000 Series H convertible preferred shares of a par value of US$0.00075 each, (f) 50,000 Series I convertible preferred shares of a par value of US$0.00075 each, (g) 50,000 Series J convertible preferred shares of a par value of US$0.00075 each, and (h) 71,733 Series K convertible preferred shares of a par value of US$0.00075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the Group effected a share consolidation at a ratio of one - for - thirty (30) ordinary shares with a par value of US $0.045 each in the Group’s issued and unissued share capital into one ordinary share with a par value of US $1.35 (“the Second Share Consolidation”). In addition, the Group also effected an increase in authorized share capital from $36,500,000 to $1,505,316,695, being divided into (a) 1,015,049,250 Class A ordinary shares of a par value of US$1.35 each, (b) 100,000,000 Class B ordinary shares of a par value of US$1.35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Group effected a share consolidation at a ratio of 1-for-15 of its ordinary shares, par value $1.35 each, at a ratio of 1-for-15, with a post-share consolidation par value of $20.25 each. After giving effect of the contemplated Share Consolidation, the authorized share capital of the Company is US$22,208,165,528 divided into (a) 1,076,699,522 Class A ordinary shares of a par value of US$20.25 each, (b) 20,000,000 Class B ordinary shares of a par value of US$20.25 each, (c) 6,000 Series A convertible preferred shares of a par value of US$0.0001 each, (d) 6,000 Series D convertible preferred shares of a par value of US$0.0001 each, (e)50,005 Series F convertible preferred shares of a par value of US$0.00005 each, (f) 50,000 Series G convertible preferred shares of a par value of US$0.00075 each, (g)50,000 Series H convertible preferred shares of a par value of US$0.00075 each, (h) 50,000 Series I convertible preferred shares of a par value of US$0.00075 each, (i)50,000 Series J convertible preferred shares of a par value of US$0.00075 each, and (j) 71,733 Series K convertible preferred shares of a par value of US$0.00075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KNOWN AS 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21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EQUITY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believed that it was appropriate to reflect the transactions on a retroactive basis pursuant to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The Group has retroactively adjusted all share and per share data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Group has granted 4,689 Class A Ordinary Shares under the Kaixin 2024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22,023,342 Class A Ordinary Shares and 144,667 Class B Ordinary Shares issued and outstanding, respectively. As of December 31, 2025, there were 1,418,653 Class A Ordinary Shares and 144,667 Class B Ordinary Shares issued and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Series D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2021, KX closed a securities purchase agreement with Moatable, Inc. (the “Holder”) a. Pursuant to the agreement, the Holder invested $6,000 in the Group in exchange for 6,000 shares of newly designated Series D convertible preferred shares (the “Series D Preferred Shares”) of KX. The preferred shares and ordinary shares underlying the warrants are not subject to stock split. Major terms of the Series D Preferred Shares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Rights:</w:t>
      </w:r>
      <w:r>
        <w:rPr>
          <w:rFonts w:ascii="Times New Roman;Times;Serif" w:hAnsi="Times New Roman;Times;Serif"/>
          <w:b w:val="false"/>
          <w:i w:val="false"/>
          <w:caps w:val="false"/>
          <w:smallCaps w:val="false"/>
          <w:sz w:val="20"/>
        </w:rPr>
        <w:t> Series D preferred shares are convertible into ordinary shares of KX’s at a conversion price of $3.00, subject to customary adjustments. Each Preferred Share shall be convertible, at any time and from time to time from and after April 8, 2021 at the option of the Holder into that number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Rights:</w:t>
      </w:r>
      <w:r>
        <w:rPr>
          <w:rFonts w:ascii="Times New Roman;Times;Serif" w:hAnsi="Times New Roman;Times;Serif"/>
          <w:b w:val="false"/>
          <w:i w:val="false"/>
          <w:caps w:val="false"/>
          <w:smallCaps w:val="false"/>
          <w:sz w:val="20"/>
        </w:rPr>
        <w:t> the redemption was comprised of optional redemption and redemption on triggering events. With respect to optional redemption, KX may deliver a notice to the Holders of its irrevocable option to redeem some or all of the then outstanding Series D Preferred Shares at any time after March 30, 2022. With respect to redemption on several triggering events, upon the occurrence of a Triggering Event, each Holder shall have the right, exercisable at the sole option of such Holder, to require the Group to redeem all of the Series D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Preferred Shares were considered as permanent equity since they were redeemable upon the occurrence of events that are within the Group’s control. The Group has issued 6,000 convertible preferred shares and received $6,000 in April 8,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Series F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2022, KAG closed a securities purchase agreement with Stanley Star Group Inc. (the “Holder”). On March 24, 2023, KAG and Stanley Star entered into an amendment to the supplement agreement that modified specific terms of the $50 million preferred stock issued by the Group to Stanley Star. The Group issued 50,000 convertible preferred shares of the Group to Stanley Star as part of consideration of the divestment of the Disposed VIE. The preferred shares and ordinary shares underlying the warrants are not subject to stock split. Major terms of the Series F Preferred Shares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Rights:</w:t>
      </w:r>
      <w:r>
        <w:rPr>
          <w:rFonts w:ascii="Times New Roman;Times;Serif" w:hAnsi="Times New Roman;Times;Serif"/>
          <w:b w:val="false"/>
          <w:i w:val="false"/>
          <w:caps w:val="false"/>
          <w:smallCaps w:val="false"/>
          <w:sz w:val="20"/>
        </w:rPr>
        <w:t> Series F preferred shares are convertible into ordinary shares of the Group at a conversion price of $1.00, subject to customary adjustments. Each Preferred Share shall be convertible, at any time and from time to time from and after the applicable Issuance Date at the option of the Holder into that number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21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EQUITY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Rights:</w:t>
      </w:r>
      <w:r>
        <w:rPr>
          <w:rFonts w:ascii="Times New Roman;Times;Serif" w:hAnsi="Times New Roman;Times;Serif"/>
          <w:b w:val="false"/>
          <w:i w:val="false"/>
          <w:caps w:val="false"/>
          <w:smallCaps w:val="false"/>
          <w:sz w:val="20"/>
        </w:rPr>
        <w:t> the redemption was comprised of optional redemption and redemption on triggering events. With respect to optional redemption, the Group may deliver a notice to the Holders of its irrevocable election to redeem some or all of the then outstanding Series F Preferred Shares at any time after January 1, 2023. With respect to redemption on several triggering events, upon the occurrence of a Triggering Event, each Holder shall have the right, exercisable at the sole option of such Holder, to require the Group to redeem all of the Series F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F Preferred Shares were considered as permanent equity since they were redeemable upon the occurrence of events that are within the Group’s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the years ended December 31, 2025, 2024 and 2023, KAH issued 6,600,000, 374,667, 1,111 and 259 Class A ordinary shares (after giving effect to the share consolidations as of June 30, 2026), respectively, to Stanley Star. As of June 30, 2026, the Company has fully settled the 26,100 Series F Preferred Shares, with 23,900 Series F Preferred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caps w:val="false"/>
          <w:smallCaps w:val="false"/>
          <w:sz w:val="20"/>
          <w:u w:val="single"/>
        </w:rPr>
        <w:t>Series G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disposal of KAG in June 2023, on May 20, 2024, KAG issued 12,800 Series G convertible preferred shares, at fair value of $1,996, to the purchaser of KAG to partially settle the outstanding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Rights:</w:t>
      </w:r>
      <w:r>
        <w:rPr>
          <w:rFonts w:ascii="Times New Roman;Times;Serif" w:hAnsi="Times New Roman;Times;Serif"/>
          <w:b w:val="false"/>
          <w:i w:val="false"/>
          <w:caps w:val="false"/>
          <w:smallCaps w:val="false"/>
          <w:sz w:val="20"/>
        </w:rPr>
        <w:t> Series G preferred shares are convertible into ordinary shares of the Group at a conversion price of $1.00, subject to customary adjustments. Each Preferred Share shall be convertible, at any time and from time to time from and after the applicable Issuance Date at the option of the Holder into that number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Rights:</w:t>
      </w:r>
      <w:r>
        <w:rPr>
          <w:rFonts w:ascii="Times New Roman;Times;Serif" w:hAnsi="Times New Roman;Times;Serif"/>
          <w:b w:val="false"/>
          <w:i w:val="false"/>
          <w:caps w:val="false"/>
          <w:smallCaps w:val="false"/>
          <w:sz w:val="20"/>
        </w:rPr>
        <w:t> the redemption was comprised of optional redemption and redemption on triggering events. With respect to optional redemption, the Group may deliver a notice to the Holders of its irrevocable election to redeem some or all of the then outstanding Series G Preferred Shares at any time after May 20, 2024. With respect to redemption on several triggering events, upon the occurrence of a Triggering Event, each Holder shall have the right, exercisable at the sole option of such Holder, to require the Group to redeem all of the Series G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G Preferred Shares were considered as permanent equity since they were redeemable upon the occurrence of events that are within the Group’s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Series H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Company issued 7,366 Series H convertible preferred shares to dealers to settle sales incentive of $571 and $417, respectively, incurred for the year of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Rights:</w:t>
      </w:r>
      <w:r>
        <w:rPr>
          <w:rFonts w:ascii="Times New Roman;Times;Serif" w:hAnsi="Times New Roman;Times;Serif"/>
          <w:b w:val="false"/>
          <w:i w:val="false"/>
          <w:caps w:val="false"/>
          <w:smallCaps w:val="false"/>
          <w:sz w:val="20"/>
        </w:rPr>
        <w:t> Series H preferred shares are convertible into  ordinary shares of the Group at a conversion price of $1.00, subject to customary adjustments. Each Preferred Share shall be convertible, at any time and from time to time from and after the applicable Issuance Date at the option of the Holder into that number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Rights:</w:t>
      </w:r>
      <w:r>
        <w:rPr>
          <w:rFonts w:ascii="Times New Roman;Times;Serif" w:hAnsi="Times New Roman;Times;Serif"/>
          <w:b w:val="false"/>
          <w:i w:val="false"/>
          <w:caps w:val="false"/>
          <w:smallCaps w:val="false"/>
          <w:sz w:val="20"/>
        </w:rPr>
        <w:t> the redemption was comprised of optional redemption and redemption on triggering events. With respect to optional redemption, the Group may deliver a notice to the Holders of its irrevocable election to redeem some or all of the then outstanding Series H Preferred Shares at any time after May 20, 2024. With respect to redemption on several triggering events, upon the occurrence of a Triggering Event, each Holder shall have the right, exercisable at the sole option of such Holder, to require the Group to redeem all of the Series H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H Preferred Shares were considered as permanent equity since they were redeemable upon the occurrence of events that are within the Group’s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21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EQUITY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I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issued 10,000 Series I convertible preferred shares to the buyer of Wuxi Morning to compensation the negative net assets of Wuxi Morning Star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Rights: </w:t>
      </w:r>
      <w:r>
        <w:rPr>
          <w:rFonts w:ascii="Times New Roman;Times;Serif" w:hAnsi="Times New Roman;Times;Serif"/>
          <w:b w:val="false"/>
          <w:i w:val="false"/>
          <w:caps w:val="false"/>
          <w:smallCaps w:val="false"/>
          <w:sz w:val="20"/>
        </w:rPr>
        <w:t>Series I preferred shares are convertible into ordinary shares of the Group at a conversion price of $1.00, subject to customary adjustments. Each Preferred Share shall be convertible, at any time and from time to time from and after the applicable Issuance Date at the option of the Holder into that number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Redemption Rights: </w:t>
      </w:r>
      <w:r>
        <w:rPr>
          <w:rFonts w:ascii="Times New Roman;Times;Serif" w:hAnsi="Times New Roman;Times;Serif"/>
          <w:b w:val="false"/>
          <w:i w:val="false"/>
          <w:caps w:val="false"/>
          <w:smallCaps w:val="false"/>
          <w:sz w:val="20"/>
        </w:rPr>
        <w:t>the redemption was comprised of optional redemption and redemption on triggering events. With respect to optional redemption, the Group may deliver a notice to the Holders of its irrevocable election to redeem some or all of the then outstanding Series I Preferred Shares at any time after August 6, 2025. With respect to redemption on several triggering events, upon the occurrence of a Triggering Event, each Holder shall have the right, exercisable at the sole option of such Holder, to require the Group to redeem all of the Series H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I Preferred Shares were considered as permanent equity since they were redeemable upon the occurrence of events that are within the Group’s control.</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Issuance of ordinary shares and 2023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2023, the Group closed a securities purchase agreement with Mr. Long Li, Hermann Limited and Aslan Family Limited (the “Investors”), pursuant to which the Group issued the Investors (i) an aggregate of 175,000 Class A Ordinary Shares of the Group, par value of US$0.0045 per share, at a purchase price of US$52.20 per share (the “Purchase Shares”), and (ii) the warrants to purchase up to 175,000 shares of the Class A Ordinary Shares of the Group at an exercise price of US$60.00 per warrant (the “2023 Warrants”). Each of the Investors will purchase 58,333 of the Purchase Shares and 58,333 of the Warrants. The 2023 Warrants will be exercisable immediately commencing on the closing date of the Securities Purchase Agreement and will expire on the second anniversary of November 7, 2023. On November 11, 2023, the Group and the Investors entered into an amendment to the Securities Purchase Agreement pursuant to which the Purchase Price of the shares is adjusted from $52.20 per share to $108.00 per share and the exercise price of the Warrants is adjusted from US$60.00 per share to US$108.00 per share.</w:t>
      </w:r>
    </w:p>
    <w:p>
      <w:pPr>
        <w:pStyle w:val="TextBody"/>
        <w:bidi w:val="0"/>
        <w:spacing w:before="0" w:after="0"/>
        <w:ind w:left="0" w:right="0" w:hanging="0"/>
        <w:jc w:val="both"/>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3110"/>
        <w:gridCol w:w="60"/>
        <w:gridCol w:w="415"/>
        <w:gridCol w:w="1615"/>
        <w:gridCol w:w="20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November 7, 2023</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Warrant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rate of return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volatility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Spot price of underling ordinary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warrant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Issuance of ordinary shares and 2022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Suzhou government and its partners planned to invest RMB100 million (approximately $15.4 million) to the Group to support the electronic vehicles business. The Group received the first instalment of RMB 30 million (approximately $4.6 million) in February 2022. In return, the Group issued 4,896 ordinary shares to Derong Group Limited (“Derong”), the entity designed by Suzhou government. In addition, the Group issued 6,500,000 warrant shares (“2022 Warrant) to Discover Flux Ltd, a warrant holder designated by Derong on July 3, 2022. Discover Flux Ltd has right to subscribe for the Group’s ordinary shares at an exercise price of $15.00 per share. The warrant shares were classified as equity and measured at relative fair value of $1,417 using the Black-Scholes pricing model. The portion of the proceeds of $3,298 was allocated to the issued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paid issuance cost of $1,575 upon receipt of the first instalment of RMB 30 million. The issuance cost was calculated on a fixed percentage of planned investment of RMB 100 million. Accordingly, the Group allocated 30% of the issuance cost, or $472, to the warrant shares and ordinary shares based on their relative fair value. The issuance cost of $472 was reduced against additional paid-in capital. The Group recorded the remaining 70% of the issuance cost, or $1,103 as general and administrative expenses in the consolidated statements of operations and comprehensive loss due to the uncertainty of the remaining investment of RMB 70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21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EQUITY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Group issued 6,500,000 ordinary shares to redeem the warrants from Discover Flux Ltd. The fair value of the warrants as of July 3, 2022 was calculated using the Black-Scholes pricing model with the following assumptions:</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3110"/>
        <w:gridCol w:w="60"/>
        <w:gridCol w:w="311"/>
        <w:gridCol w:w="1209"/>
        <w:gridCol w:w="20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July 3, 2022</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Warrant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rate of return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volatility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Spot price of underling ordinary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warrant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Statutory reserve and restricted net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Regulations on Enterprises with Foreign Investment of China and their articles of association, the Group’s subsidiaries and VIE entities located in the PRC, are required to provide for certain statutory reserves. The statutory reserve fund required to reserve 10% of their net profit after income tax, as determined in accordance with the PRC accounting rules and regulations. Appropriation to the statutory reserve by the Group is based on profit arrived at under PRC accounting standards for business enterprises for each year. The profit arrived at must be set off against any accumulated losses sustained by the Group in prior years, before allocation is made to the statutory reserve. Appropriation to the statutory reserve must be made before distribution of dividends to shareholders. The appropriation is required until the statutory reserve reaches 50% of the registered capital. This statutory reserve is not distributable in the form of 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PRC statutory laws and regulations permit the payment of dividends by the Group’s PRC subsidiary only out of their retained earnings, if any, as determined in accordance with PRC accounting standards and regulations. Furthermore, registered share capital and capital reserve accounts are also restricted from distribution. As a result of these PRC laws and regulations, the Group’s PRC subsidiary is restricted in its ability to transfer a portion of its net assets to the Group either in the form of dividends, loans or advances. The Group’s restricted net assets, comprising paid-in capital and statutory reserve of the Group’s PRC subsidiary, were $106,222 and $105,622 as of June 30, 2026 and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290"/>
        <w:gridCol w:w="167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1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LOSS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loss per ordinary share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7438" w:type="dxa"/>
        <w:jc w:val="left"/>
        <w:tblInd w:w="0" w:type="dxa"/>
        <w:tblLayout w:type="fixed"/>
        <w:tblCellMar>
          <w:top w:w="0" w:type="dxa"/>
          <w:left w:w="0" w:type="dxa"/>
          <w:bottom w:w="0" w:type="dxa"/>
          <w:right w:w="0" w:type="dxa"/>
        </w:tblCellMar>
      </w:tblPr>
      <w:tblGrid>
        <w:gridCol w:w="5165"/>
        <w:gridCol w:w="60"/>
        <w:gridCol w:w="133"/>
        <w:gridCol w:w="1012"/>
        <w:gridCol w:w="85"/>
        <w:gridCol w:w="63"/>
        <w:gridCol w:w="133"/>
        <w:gridCol w:w="692"/>
        <w:gridCol w:w="95"/>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8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KAIXIN’S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(1,915</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used in calculating net loss per share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10,036,430</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Group is in a net loss for the six months ended June 30, 2026 and 2025 presented in these financial statements, the potential dilutive securities were not included in the calculation of dilutive net loss per share where their inclusion would be anti-dilutive. No dilutive security was issued for the six months ended June 30, 2026, and 2025; there was no difference between the Group’s basic and diluted net loss per share for the periods presented.</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90"/>
        <w:gridCol w:w="303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30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board of directors of the Company approved certain incentive plans to grant restricted shares to the management and employees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Group has granted 8,444 Class A Ordinary Shares and 2,222 Class B Ordinary Shares under the Kaixin 2024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Group has granted 4,689 Class A Ordinary Shares under the Kaixin 2024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nonvested restricted shares activity for the six months ended June 30, 2026 and 2025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290"/>
        <w:gridCol w:w="360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SHARE-BASED COMPENSATION</w:t>
            </w:r>
            <w:r>
              <w:rPr>
                <w:rFonts w:ascii="Times New Roman;Times;Serif" w:hAnsi="Times New Roman;Times;Serif"/>
                <w:sz w:val="20"/>
              </w:rPr>
              <w:t xml:space="preserve"> (cont.)</w:t>
            </w:r>
          </w:p>
        </w:tc>
      </w:tr>
    </w:tbl>
    <w:p>
      <w:pPr>
        <w:pStyle w:val="TextBody"/>
        <w:bidi w:val="0"/>
        <w:spacing w:before="0" w:after="0"/>
        <w:ind w:left="0"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3080"/>
        <w:gridCol w:w="60"/>
        <w:gridCol w:w="60"/>
        <w:gridCol w:w="1130"/>
        <w:gridCol w:w="80"/>
        <w:gridCol w:w="60"/>
        <w:gridCol w:w="125"/>
        <w:gridCol w:w="1325"/>
        <w:gridCol w:w="95"/>
      </w:tblGrid>
      <w:tr>
        <w:trPr/>
        <w:tc>
          <w:tcPr>
            <w:tcW w:w="30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Number of</w:t>
              <w:br/>
              <w:t>nonvested</w:t>
              <w:br/>
              <w:t>restricted</w:t>
              <w:br/>
              <w:t>shares</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Weighted</w:t>
              <w:br/>
              <w:t xml:space="preserve">average </w:t>
              <w:br/>
              <w:t>fair value</w:t>
              <w:br/>
              <w:t>per ordinary</w:t>
              <w:br/>
              <w:t>share</w:t>
              <w:br/>
              <w:t>at the grant</w:t>
              <w:br/>
              <w:t>dates</w:t>
            </w:r>
          </w:p>
        </w:tc>
        <w:tc>
          <w:tcPr>
            <w:tcW w:w="95" w:type="dxa"/>
            <w:tcBorders/>
            <w:shd w:fill="FFFFFF" w:val="clear"/>
            <w:vAlign w:val="center"/>
          </w:tcPr>
          <w:p>
            <w:pPr>
              <w:pStyle w:val="TableContents"/>
              <w:bidi w:val="0"/>
              <w:spacing w:before="0" w:after="283"/>
              <w:jc w:val="center"/>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1,397.40</w:t>
            </w:r>
          </w:p>
        </w:tc>
        <w:tc>
          <w:tcPr>
            <w:tcW w:w="9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137.34</w:t>
            </w:r>
          </w:p>
        </w:tc>
        <w:tc>
          <w:tcPr>
            <w:tcW w:w="9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(137.34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1,397.40</w:t>
            </w:r>
          </w:p>
        </w:tc>
        <w:tc>
          <w:tcPr>
            <w:tcW w:w="9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1,397.40</w:t>
            </w:r>
          </w:p>
        </w:tc>
        <w:tc>
          <w:tcPr>
            <w:tcW w:w="9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535.50</w:t>
            </w:r>
          </w:p>
        </w:tc>
        <w:tc>
          <w:tcPr>
            <w:tcW w:w="9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(535.50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1,397.40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was approximately $1,397 of total unrecognized compensation cost related to unvested restricted shares. The unrecognized compensation costs are expected to be recognized over a weighted average period of 1.60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recorded share-based compensation expenses of $644 and $5,700, respectively, which were charged to general and administrative expenses on the unaudited condensed consolidated statements and operations.</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90"/>
        <w:gridCol w:w="371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37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certain legal proceedings, claims and disputes that arise in the ordinary course of business. Although the outcomes of these legal proceedings cannot be predicted, the Company does not believe these actions, in the aggregate, will have a material adverse impact on its financial position, results of income or liquidity.</w:t>
      </w:r>
    </w:p>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21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the Company, Jet Sound Hong Kong Company Limited (the “Purchaser”), a wholly owned subsidiary of the Company, Hsiao-Ching Chiu (the “Seller”), and AUTOA2A. LTD. entered into a securities purchase agreement (the “Purchase Agreement”). Pursuant to the Purchase Agreement, the Purchaser agreed to acquire the entire equity interest in Hongkong Taohaoche Limited (the “Target Company”). The Company agreed to issue 10,000,000 newly issued Class A ordinary shares to the Seller as consideration (the “Consideration Shares”), which shall be held in escrow and be released subject to performance targets as set forth in the Purchase Agreement. Upon completion, the Target Company will become an indirect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execution date of the Purchase Agreement on August 26, 2026, the Company’s stock price has declined substantially, and the Consideration Shares have lost more than 70% of their market value. On September 3, 2026, the board of directors of the Company approved the issuance of an additional 10,000,000 Class A ordinary shares (the “Additional Shares”) to the Seller, which shall be held in escrow and released subject to the six-year performance targets as set forth in the Purchase Agreement, as a result of the substantial decrease in the market value of the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 w:name="tm2625541d1_ex99-2.htm"/>
      <w:bookmarkStart w:id="5" w:name="kstm2625541d1_ex99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Results of Operations Measures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Comparable GAAP Financial Measures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extBody"/>
        <w:bidi w:val="0"/>
        <w:spacing w:before="0" w:after="0"/>
        <w:ind w:left="0" w:right="0" w:hanging="0"/>
        <w:jc w:val="left"/>
        <w:rPr>
          <w:caps w:val="false"/>
          <w:smallCaps w:val="false"/>
        </w:rPr>
      </w:pPr>
      <w:r>
        <w:rPr>
          <w:caps w:val="false"/>
          <w:smallCaps w:val="false"/>
        </w:rPr>
        <w:t> </w:t>
      </w:r>
    </w:p>
    <w:tbl>
      <w:tblPr>
        <w:tblW w:w="6537" w:type="dxa"/>
        <w:jc w:val="left"/>
        <w:tblInd w:w="0" w:type="dxa"/>
        <w:tblLayout w:type="fixed"/>
        <w:tblCellMar>
          <w:top w:w="0" w:type="dxa"/>
          <w:left w:w="0" w:type="dxa"/>
          <w:bottom w:w="0" w:type="dxa"/>
          <w:right w:w="0" w:type="dxa"/>
        </w:tblCellMar>
      </w:tblPr>
      <w:tblGrid>
        <w:gridCol w:w="4265"/>
        <w:gridCol w:w="60"/>
        <w:gridCol w:w="179"/>
        <w:gridCol w:w="780"/>
        <w:gridCol w:w="114"/>
        <w:gridCol w:w="85"/>
        <w:gridCol w:w="179"/>
        <w:gridCol w:w="780"/>
        <w:gridCol w:w="95"/>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7" w:type="dxa"/>
            <w:gridSpan w:val="6"/>
            <w:tcBorders/>
            <w:vAlign w:val="center"/>
          </w:tcPr>
          <w:p>
            <w:pPr>
              <w:pStyle w:val="TableContents"/>
              <w:bidi w:val="0"/>
              <w:spacing w:before="0" w:after="283"/>
              <w:jc w:val="center"/>
              <w:rPr>
                <w:b/>
                <w:sz w:val="20"/>
              </w:rPr>
            </w:pPr>
            <w:r>
              <w:rPr>
                <w:b/>
                <w:sz w:val="20"/>
              </w:rPr>
              <w:t>For the six months ended</w:t>
            </w:r>
          </w:p>
        </w:tc>
        <w:tc>
          <w:tcPr>
            <w:tcW w:w="9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9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1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b/>
                <w:sz w:val="20"/>
              </w:rPr>
            </w:pPr>
            <w:r>
              <w:rPr>
                <w:b/>
                <w:sz w:val="20"/>
              </w:rPr>
              <w:t>Reconciliation of non-GAAP loss from operations: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sz w:val="20"/>
              </w:rPr>
            </w:pPr>
            <w:r>
              <w:rPr>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sz w:val="20"/>
              </w:rPr>
            </w:pPr>
            <w:r>
              <w:rPr>
                <w:sz w:val="20"/>
              </w:rPr>
              <w:t>$</w:t>
            </w:r>
          </w:p>
        </w:tc>
        <w:tc>
          <w:tcPr>
            <w:tcW w:w="780" w:type="dxa"/>
            <w:tcBorders/>
            <w:shd w:fill="FFFFFF" w:val="clear"/>
            <w:vAlign w:val="center"/>
          </w:tcPr>
          <w:p>
            <w:pPr>
              <w:pStyle w:val="TableContents"/>
              <w:bidi w:val="0"/>
              <w:spacing w:before="0" w:after="283"/>
              <w:jc w:val="right"/>
              <w:rPr>
                <w:sz w:val="20"/>
              </w:rPr>
            </w:pPr>
            <w:r>
              <w:rPr>
                <w:sz w:val="20"/>
              </w:rPr>
              <w:t>(1,994</w:t>
            </w:r>
          </w:p>
        </w:tc>
        <w:tc>
          <w:tcPr>
            <w:tcW w:w="114" w:type="dxa"/>
            <w:tcBorders/>
            <w:shd w:fill="FFFFFF" w:val="clear"/>
            <w:vAlign w:val="center"/>
          </w:tcPr>
          <w:p>
            <w:pPr>
              <w:pStyle w:val="TableContents"/>
              <w:bidi w:val="0"/>
              <w:spacing w:before="0" w:after="283"/>
              <w:jc w:val="left"/>
              <w:rPr>
                <w:sz w:val="20"/>
              </w:rPr>
            </w:pPr>
            <w:r>
              <w:rPr>
                <w:sz w:val="20"/>
              </w:rPr>
              <w:t>)</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sz w:val="20"/>
              </w:rPr>
            </w:pPr>
            <w:r>
              <w:rPr>
                <w:sz w:val="20"/>
              </w:rPr>
              <w:t>$</w:t>
            </w:r>
          </w:p>
        </w:tc>
        <w:tc>
          <w:tcPr>
            <w:tcW w:w="780" w:type="dxa"/>
            <w:tcBorders/>
            <w:shd w:fill="FFFFFF" w:val="clear"/>
            <w:vAlign w:val="center"/>
          </w:tcPr>
          <w:p>
            <w:pPr>
              <w:pStyle w:val="TableContents"/>
              <w:bidi w:val="0"/>
              <w:spacing w:before="0" w:after="283"/>
              <w:jc w:val="right"/>
              <w:rPr>
                <w:sz w:val="20"/>
              </w:rPr>
            </w:pPr>
            <w:r>
              <w:rPr>
                <w:sz w:val="20"/>
              </w:rPr>
              <w:t>(8,696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265" w:type="dxa"/>
            <w:tcBorders/>
            <w:shd w:fill="CCEEFF" w:val="clear"/>
            <w:vAlign w:val="center"/>
          </w:tcPr>
          <w:p>
            <w:pPr>
              <w:pStyle w:val="TableContents"/>
              <w:bidi w:val="0"/>
              <w:spacing w:before="0" w:after="283"/>
              <w:jc w:val="left"/>
              <w:rPr>
                <w:sz w:val="20"/>
              </w:rPr>
            </w:pPr>
            <w:r>
              <w:rPr>
                <w:sz w:val="20"/>
              </w:rPr>
              <w:t>Add back: Share-based compensation expenses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644</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5,700</w:t>
            </w:r>
          </w:p>
        </w:tc>
        <w:tc>
          <w:tcPr>
            <w:tcW w:w="9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b/>
                <w:sz w:val="20"/>
              </w:rPr>
            </w:pPr>
            <w:r>
              <w:rPr>
                <w:b/>
                <w:sz w:val="20"/>
              </w:rPr>
              <w:t>Adjusted loss from operations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(1,350</w:t>
            </w:r>
          </w:p>
        </w:tc>
        <w:tc>
          <w:tcPr>
            <w:tcW w:w="114" w:type="dxa"/>
            <w:tcBorders/>
            <w:shd w:fill="FFFFFF" w:val="clear"/>
            <w:vAlign w:val="center"/>
          </w:tcPr>
          <w:p>
            <w:pPr>
              <w:pStyle w:val="TableContents"/>
              <w:bidi w:val="0"/>
              <w:spacing w:before="0" w:after="283"/>
              <w:jc w:val="left"/>
              <w:rPr>
                <w:b/>
                <w:sz w:val="20"/>
              </w:rPr>
            </w:pPr>
            <w:r>
              <w:rPr>
                <w:b/>
                <w:sz w:val="20"/>
              </w:rPr>
              <w:t>)</w:t>
            </w:r>
          </w:p>
        </w:tc>
        <w:tc>
          <w:tcPr>
            <w:tcW w:w="85"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(2,996</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4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b/>
                <w:sz w:val="20"/>
              </w:rPr>
            </w:pPr>
            <w:r>
              <w:rPr>
                <w:b/>
                <w:sz w:val="20"/>
              </w:rPr>
              <w:t>Reconciliation of non-GAAP net loss: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20"/>
              </w:rPr>
            </w:pPr>
            <w:r>
              <w:rPr>
                <w:sz w:val="20"/>
              </w:rPr>
              <w:t>$</w:t>
            </w:r>
          </w:p>
        </w:tc>
        <w:tc>
          <w:tcPr>
            <w:tcW w:w="780" w:type="dxa"/>
            <w:tcBorders/>
            <w:shd w:fill="CCEEFF" w:val="clear"/>
            <w:vAlign w:val="center"/>
          </w:tcPr>
          <w:p>
            <w:pPr>
              <w:pStyle w:val="TableContents"/>
              <w:bidi w:val="0"/>
              <w:spacing w:before="0" w:after="283"/>
              <w:jc w:val="right"/>
              <w:rPr>
                <w:sz w:val="20"/>
              </w:rPr>
            </w:pPr>
            <w:r>
              <w:rPr>
                <w:sz w:val="20"/>
              </w:rPr>
              <w:t>(1,915</w:t>
            </w:r>
          </w:p>
        </w:tc>
        <w:tc>
          <w:tcPr>
            <w:tcW w:w="114" w:type="dxa"/>
            <w:tcBorders/>
            <w:shd w:fill="CCEEFF" w:val="clear"/>
            <w:vAlign w:val="center"/>
          </w:tcPr>
          <w:p>
            <w:pPr>
              <w:pStyle w:val="TableContents"/>
              <w:bidi w:val="0"/>
              <w:spacing w:before="0" w:after="283"/>
              <w:jc w:val="left"/>
              <w:rPr>
                <w:sz w:val="20"/>
              </w:rPr>
            </w:pPr>
            <w:r>
              <w:rPr>
                <w:sz w:val="20"/>
              </w:rPr>
              <w:t>)</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20"/>
              </w:rPr>
            </w:pPr>
            <w:r>
              <w:rPr>
                <w:sz w:val="20"/>
              </w:rPr>
              <w:t>$</w:t>
            </w:r>
          </w:p>
        </w:tc>
        <w:tc>
          <w:tcPr>
            <w:tcW w:w="780" w:type="dxa"/>
            <w:tcBorders/>
            <w:shd w:fill="CCEEFF" w:val="clear"/>
            <w:vAlign w:val="center"/>
          </w:tcPr>
          <w:p>
            <w:pPr>
              <w:pStyle w:val="TableContents"/>
              <w:bidi w:val="0"/>
              <w:spacing w:before="0" w:after="283"/>
              <w:jc w:val="right"/>
              <w:rPr>
                <w:sz w:val="20"/>
              </w:rPr>
            </w:pPr>
            <w:r>
              <w:rPr>
                <w:sz w:val="20"/>
              </w:rPr>
              <w:t>(8,412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265" w:type="dxa"/>
            <w:tcBorders/>
            <w:shd w:fill="FFFFFF" w:val="clear"/>
            <w:vAlign w:val="center"/>
          </w:tcPr>
          <w:p>
            <w:pPr>
              <w:pStyle w:val="TableContents"/>
              <w:bidi w:val="0"/>
              <w:spacing w:before="0" w:after="283"/>
              <w:jc w:val="left"/>
              <w:rPr>
                <w:sz w:val="20"/>
              </w:rPr>
            </w:pPr>
            <w:r>
              <w:rPr>
                <w:sz w:val="20"/>
              </w:rPr>
              <w:t>Add back: Share-based compensation expenses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644</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5,700</w:t>
            </w:r>
          </w:p>
        </w:tc>
        <w:tc>
          <w:tcPr>
            <w:tcW w:w="9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b/>
                <w:sz w:val="20"/>
              </w:rPr>
            </w:pPr>
            <w:r>
              <w:rPr>
                <w:b/>
                <w:sz w:val="20"/>
              </w:rPr>
              <w:t>Adjusted net loss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(1,271</w:t>
            </w:r>
          </w:p>
        </w:tc>
        <w:tc>
          <w:tcPr>
            <w:tcW w:w="114" w:type="dxa"/>
            <w:tcBorders/>
            <w:shd w:fill="CCEEFF" w:val="clear"/>
            <w:vAlign w:val="center"/>
          </w:tcPr>
          <w:p>
            <w:pPr>
              <w:pStyle w:val="TableContents"/>
              <w:bidi w:val="0"/>
              <w:spacing w:before="0" w:after="283"/>
              <w:jc w:val="left"/>
              <w:rPr>
                <w:b/>
                <w:sz w:val="20"/>
              </w:rPr>
            </w:pPr>
            <w:r>
              <w:rPr>
                <w:b/>
                <w:sz w:val="20"/>
              </w:rPr>
              <w:t>)</w:t>
            </w:r>
          </w:p>
        </w:tc>
        <w:tc>
          <w:tcPr>
            <w:tcW w:w="85"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(2,712</w:t>
            </w:r>
          </w:p>
        </w:tc>
        <w:tc>
          <w:tcPr>
            <w:tcW w:w="95"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6" w:name="tm2625541d1_ex99-3.htm"/>
      <w:bookmarkStart w:id="7" w:name="kstm2625541d1_ex993"/>
      <w:bookmarkEnd w:id="6"/>
      <w:bookmarkEnd w:id="7"/>
      <w:r>
        <w:rPr/>
        <w:t> </w:t>
      </w:r>
      <w:r>
        <w:br w:type="page"/>
      </w:r>
    </w:p>
    <w:p>
      <w:pPr>
        <w:pStyle w:val="TextBody"/>
        <w:bidi w:val="0"/>
        <w:jc w:val="right"/>
        <w:rPr>
          <w:b/>
        </w:rPr>
      </w:pPr>
      <w:r>
        <w:rPr>
          <w:b/>
        </w:rPr>
        <w:t>Exhibit 99.3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(REVISED)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CAYMAN ISLANDS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BY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NINTH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a Special Resolution passed on April 15, 2026)</w:t>
      </w:r>
    </w:p>
    <w:p>
      <w:pPr>
        <w:pStyle w:val="TextBody"/>
        <w:bidi w:val="0"/>
        <w:spacing w:before="0" w:after="0"/>
        <w:ind w:left="0" w:right="0" w:hanging="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0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4535" w:type="dxa"/>
            <w:tcBorders/>
            <w:vAlign w:val="center"/>
          </w:tcPr>
          <w:p>
            <w:pPr>
              <w:pStyle w:val="TableContents"/>
              <w:bidi w:val="0"/>
              <w:spacing w:before="0" w:after="283"/>
              <w:jc w:val="both"/>
              <w:rPr/>
            </w:pPr>
            <w:r>
              <w:rPr/>
              <w:t xml:space="preserve">The name of the Company is </w:t>
            </w:r>
            <w:r>
              <w:rPr>
                <w:b/>
              </w:rPr>
              <w:t>Kaixin Holdings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2.</w:t>
            </w:r>
          </w:p>
        </w:tc>
        <w:tc>
          <w:tcPr>
            <w:tcW w:w="10006" w:type="dxa"/>
            <w:tcBorders/>
            <w:vAlign w:val="center"/>
          </w:tcPr>
          <w:p>
            <w:pPr>
              <w:pStyle w:val="TableContents"/>
              <w:bidi w:val="0"/>
              <w:spacing w:before="0" w:after="283"/>
              <w:jc w:val="both"/>
              <w:rPr/>
            </w:pPr>
            <w:r>
              <w:rPr/>
              <w:t>The registered office of the Company shall be at Harneys Fiduciary (Cayman) Limited, 4th Floor, Harbour Place, 103 South Church Street, P.O. Box 10240, Grand Cayman KY1-1002, Cayman Islands or at such other place as the Directors may from time to time decide.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3.</w:t>
            </w:r>
          </w:p>
        </w:tc>
        <w:tc>
          <w:tcPr>
            <w:tcW w:w="10011" w:type="dxa"/>
            <w:tcBorders/>
            <w:vAlign w:val="center"/>
          </w:tcPr>
          <w:p>
            <w:pPr>
              <w:pStyle w:val="TableContents"/>
              <w:bidi w:val="0"/>
              <w:spacing w:before="0" w:after="283"/>
              <w:jc w:val="both"/>
              <w:rPr/>
            </w:pPr>
            <w:r>
              <w:rPr/>
              <w:t>Subject to the following provisions of this Memorandum of Association, the objects for which the Company is established are unrestricted and the Company shall have full power and authority to carry out any object not prohibited by the Companies Act (Revised) or as the same may be revised from time to time, or any other law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4.</w:t>
            </w:r>
          </w:p>
        </w:tc>
        <w:tc>
          <w:tcPr>
            <w:tcW w:w="9995" w:type="dxa"/>
            <w:tcBorders/>
            <w:vAlign w:val="center"/>
          </w:tcPr>
          <w:p>
            <w:pPr>
              <w:pStyle w:val="TableContents"/>
              <w:bidi w:val="0"/>
              <w:spacing w:before="0" w:after="283"/>
              <w:jc w:val="both"/>
              <w:rPr/>
            </w:pPr>
            <w:r>
              <w:rPr/>
              <w:t>Nothing in this Memorandum of Association shall permit the Company to carry on a business for which a license is required under the laws of the Cayman Islands unless duly licensed.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5.</w:t>
            </w:r>
          </w:p>
        </w:tc>
        <w:tc>
          <w:tcPr>
            <w:tcW w:w="10015" w:type="dxa"/>
            <w:tcBorders/>
            <w:vAlign w:val="center"/>
          </w:tcPr>
          <w:p>
            <w:pPr>
              <w:pStyle w:val="TableContents"/>
              <w:bidi w:val="0"/>
              <w:spacing w:before="0" w:after="283"/>
              <w:jc w:val="both"/>
              <w:rPr/>
            </w:pPr>
            <w:r>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200"/>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9950" w:type="dxa"/>
            <w:tcBorders/>
            <w:vAlign w:val="center"/>
          </w:tcPr>
          <w:p>
            <w:pPr>
              <w:pStyle w:val="TableContents"/>
              <w:bidi w:val="0"/>
              <w:spacing w:before="0" w:after="283"/>
              <w:jc w:val="both"/>
              <w:rPr/>
            </w:pPr>
            <w:r>
              <w:rPr/>
              <w:t>The liability of each Member is limited to the amount from time to time unpaid on such Member’s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7.</w:t>
            </w:r>
          </w:p>
        </w:tc>
        <w:tc>
          <w:tcPr>
            <w:tcW w:w="10022" w:type="dxa"/>
            <w:tcBorders/>
            <w:vAlign w:val="center"/>
          </w:tcPr>
          <w:p>
            <w:pPr>
              <w:pStyle w:val="TableContents"/>
              <w:bidi w:val="0"/>
              <w:spacing w:before="0" w:after="283"/>
              <w:jc w:val="both"/>
              <w:rPr/>
            </w:pPr>
            <w:r>
              <w:rPr/>
              <w:t>The authorised share capital of the Company is euro€22,208,165,528 divided into (a) 10,766,995,220,000 Class A ordinary shares of a par value of euro€0.002025 each, (b) 200,000,000,000 Class B ordinary shares of a par value of euro€0.002025 each, (c) 6,000 Series A convertible preferred shares of a par value of euro€0.0001 each, (d) 6,000 Series D convertible preferred shares of a par value of euro€0.0001 each, (e) 50,005 Series F convertible preferred shares of a par value of euro€0.00005 each, (f) 50,000 Series G convertible preferred shares of a par value of euro€0.00075 each, (g) 50,000 Series H convertible preferred shares of a par value of euro€0.00075 each, (h) 50,000 Series I convertible preferred shares of a par value of euro€0.00075 each, (i) 50,000 Series J convertible preferred shares of a par value of euro€0.00075 each, and (j) 71,733 Series K convertible preferred shares of a par value of euro€0.00075 each.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8.</w:t>
            </w:r>
          </w:p>
        </w:tc>
        <w:tc>
          <w:tcPr>
            <w:tcW w:w="10018" w:type="dxa"/>
            <w:tcBorders/>
            <w:vAlign w:val="center"/>
          </w:tcPr>
          <w:p>
            <w:pPr>
              <w:pStyle w:val="TableContents"/>
              <w:bidi w:val="0"/>
              <w:spacing w:before="0" w:after="283"/>
              <w:jc w:val="both"/>
              <w:rPr/>
            </w:pPr>
            <w:r>
              <w:rPr/>
              <w:t>The Company has the power to redeem or purchase any of its shares and to increase or reduce the said capital subject to the provisions of the Companies Act (Revised)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9.</w:t>
            </w:r>
          </w:p>
        </w:tc>
        <w:tc>
          <w:tcPr>
            <w:tcW w:w="9999" w:type="dxa"/>
            <w:tcBorders/>
            <w:vAlign w:val="center"/>
          </w:tcPr>
          <w:p>
            <w:pPr>
              <w:pStyle w:val="TableContents"/>
              <w:bidi w:val="0"/>
              <w:spacing w:before="0" w:after="283"/>
              <w:jc w:val="both"/>
              <w:rPr/>
            </w:pPr>
            <w:r>
              <w:rPr/>
              <w:t>The Company has the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10.</w:t>
            </w:r>
          </w:p>
        </w:tc>
        <w:tc>
          <w:tcPr>
            <w:tcW w:w="9870" w:type="dxa"/>
            <w:tcBorders/>
            <w:vAlign w:val="center"/>
          </w:tcPr>
          <w:p>
            <w:pPr>
              <w:pStyle w:val="TableContents"/>
              <w:bidi w:val="0"/>
              <w:spacing w:before="0" w:after="283"/>
              <w:jc w:val="both"/>
              <w:rPr/>
            </w:pPr>
            <w:r>
              <w:rPr/>
              <w:t>Capitalised terms that are not defined in this Memorandum of Association bear the same meaning as those given in the Articles of Association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(REVISED)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CAYMAN ISLANDS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BY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NINTH AMENDED AND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a Special Resolution passed on April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or incorporated in Table ‘A’ in the First Schedule of the Companies Act shall not apply to the Company and the following Articles shall comprise the Articles of Association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283"/>
              <w:jc w:val="both"/>
              <w:rPr/>
            </w:pPr>
            <w:r>
              <w:rPr/>
              <w:t>In these Articles the following defined terms will have the meanings ascribed to them, if not inconsistent with the subject or context: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3"/>
        <w:gridCol w:w="8777"/>
      </w:tblGrid>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both"/>
              <w:rPr/>
            </w:pPr>
            <w:r>
              <w:rPr/>
              <w:t>“</w:t>
            </w:r>
            <w:r>
              <w:rPr>
                <w:rFonts w:ascii="Times New Roman;Times;Serif" w:hAnsi="Times New Roman;Times;Serif"/>
                <w:b/>
                <w:sz w:val="20"/>
              </w:rPr>
              <w:t>Affiliate”</w:t>
            </w:r>
          </w:p>
        </w:tc>
        <w:tc>
          <w:tcPr>
            <w:tcW w:w="87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any specified Person, any other Person that directly, or indirectly through one or more intermediaries, controls or is controlled by, or is under common control, with such specified Person; For purposes of these Articles, except as otherwise expressly provided herein, when used with respect to any Person, “control” means the power to direct the management and policies of such Person, directly or indirectly, whether through the ownership of voting securities, by contract or otherwise, and the terms “affiliated”, “controlling” and “controlled” have meanings correlative to the foregoing;</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87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both"/>
              <w:rPr/>
            </w:pPr>
            <w:r>
              <w:rPr/>
              <w:t>“</w:t>
            </w:r>
            <w:r>
              <w:rPr>
                <w:rFonts w:ascii="Times New Roman;Times;Serif" w:hAnsi="Times New Roman;Times;Serif"/>
                <w:b/>
                <w:sz w:val="20"/>
              </w:rPr>
              <w:t>applicable law”</w:t>
            </w:r>
          </w:p>
        </w:tc>
        <w:tc>
          <w:tcPr>
            <w:tcW w:w="87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the Act and Statutes, the rules and regulations of the Designated Stock Exchange, and any rules and regulations of the United States Securities and Exchange Commission that may apply to the Company by virtue of its trading on the Designated Stock Exchange, or of any other jurisdiction in which the Company is offering securities;</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87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w:t>
            </w:r>
            <w:r>
              <w:rPr>
                <w:rFonts w:ascii="Times New Roman;Times;Serif" w:hAnsi="Times New Roman;Times;Serif"/>
                <w:b/>
                <w:sz w:val="20"/>
              </w:rPr>
              <w:t>Articles”</w:t>
            </w:r>
          </w:p>
        </w:tc>
        <w:tc>
          <w:tcPr>
            <w:tcW w:w="87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Eighth Amended and Restated Articles of Association of the Company as amended from time to time;</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87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w:t>
            </w:r>
            <w:r>
              <w:rPr>
                <w:rFonts w:ascii="Times New Roman;Times;Serif" w:hAnsi="Times New Roman;Times;Serif"/>
                <w:b/>
                <w:sz w:val="20"/>
              </w:rPr>
              <w:t>Board” and “Board of Directors” and “Directors”</w:t>
            </w:r>
          </w:p>
        </w:tc>
        <w:tc>
          <w:tcPr>
            <w:tcW w:w="87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of the Company for the time being, or as the case may be, the directors assembled as a board or as a committee thereof;</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87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both"/>
              <w:rPr/>
            </w:pPr>
            <w:r>
              <w:rPr/>
              <w:t>“</w:t>
            </w:r>
            <w:r>
              <w:rPr>
                <w:rFonts w:ascii="Times New Roman;Times;Serif" w:hAnsi="Times New Roman;Times;Serif"/>
                <w:b/>
                <w:sz w:val="20"/>
              </w:rPr>
              <w:t>Business Day”</w:t>
            </w:r>
          </w:p>
        </w:tc>
        <w:tc>
          <w:tcPr>
            <w:tcW w:w="87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day (excluding Saturdays or Sundays), on which banks in Hong Kong, Beijing, Shanghai and New York are open for general banking business throughout their normal business hours;</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87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w:t>
            </w:r>
            <w:r>
              <w:rPr>
                <w:rFonts w:ascii="Times New Roman;Times;Serif" w:hAnsi="Times New Roman;Times;Serif"/>
                <w:b/>
                <w:sz w:val="20"/>
              </w:rPr>
              <w:t>capital”</w:t>
            </w:r>
          </w:p>
        </w:tc>
        <w:tc>
          <w:tcPr>
            <w:tcW w:w="87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capital from time to time of the Company;</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87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w:t>
            </w:r>
            <w:r>
              <w:rPr>
                <w:rFonts w:ascii="Times New Roman;Times;Serif" w:hAnsi="Times New Roman;Times;Serif"/>
                <w:b/>
                <w:sz w:val="20"/>
              </w:rPr>
              <w:t>Chairman”</w:t>
            </w:r>
          </w:p>
        </w:tc>
        <w:tc>
          <w:tcPr>
            <w:tcW w:w="87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of the Board of Directors;</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87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w:t>
            </w:r>
            <w:r>
              <w:rPr>
                <w:rFonts w:ascii="Times New Roman;Times;Serif" w:hAnsi="Times New Roman;Times;Serif"/>
                <w:b/>
                <w:sz w:val="20"/>
              </w:rPr>
              <w:t xml:space="preserve">Change of Control Event” </w:t>
            </w:r>
          </w:p>
        </w:tc>
        <w:tc>
          <w:tcPr>
            <w:tcW w:w="87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a Person, the occurrence of any of the following, whether in a single transaction or in a series of related transactions: (A) an amalgamation, arrangement, merger, consolidation, scheme of arrangement or similar transaction (i)in which such Person is not the surviving entity, except for a transaction the principal purpose of which is to change the jurisdiction in which such Person is incorporated or (ii)as result of which the holders of the voting securities of such Person do not hold more than 50% of the combined voting power of the voting securities of the surviving entity, or (B)sale, transfer or other disposition of all or substantially all of the assets of such Person (including without limitation in a liquidation, dissolution or similar proceeding);</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87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w:t>
            </w:r>
            <w:r>
              <w:rPr>
                <w:rFonts w:ascii="Times New Roman;Times;Serif" w:hAnsi="Times New Roman;Times;Serif"/>
                <w:b/>
                <w:sz w:val="20"/>
              </w:rPr>
              <w:t>Class A Ordinary Shares”</w:t>
            </w:r>
          </w:p>
        </w:tc>
        <w:tc>
          <w:tcPr>
            <w:tcW w:w="87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Ordinary Shares of a par value of euro€0.002025 each in the capital of the Company, designated as Class A Ordinary Shares and having the rights, benefits and privileges provided for in these Articles;</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87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w:t>
            </w:r>
            <w:r>
              <w:rPr>
                <w:rFonts w:ascii="Times New Roman;Times;Serif" w:hAnsi="Times New Roman;Times;Serif"/>
                <w:b/>
                <w:sz w:val="20"/>
              </w:rPr>
              <w:t>Class B Ordinary Shares”</w:t>
            </w:r>
          </w:p>
        </w:tc>
        <w:tc>
          <w:tcPr>
            <w:tcW w:w="87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Ordinary Shares of a par value of euro€.002025 each in the capital of the Company, designated as Class B Ordinary Shares and having the rights, benefits and privileges provided for in these Articles;</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6"/>
        <w:gridCol w:w="8284"/>
      </w:tblGrid>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both"/>
              <w:rPr/>
            </w:pPr>
            <w:r>
              <w:rPr/>
              <w:t>“</w:t>
            </w:r>
            <w:r>
              <w:rPr>
                <w:rFonts w:ascii="Times New Roman;Times;Serif" w:hAnsi="Times New Roman;Times;Serif"/>
                <w:b/>
                <w:sz w:val="20"/>
              </w:rPr>
              <w:t>clearing house”</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clearing house recognised by the laws of the jurisdiction in which the shares of the Company (or depositary receipts therefor) are listed or quoted on a stock exchange or interdealer quotation system in such jurisdiction;</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both"/>
              <w:rPr/>
            </w:pPr>
            <w:r>
              <w:rPr/>
              <w:t>“</w:t>
            </w:r>
            <w:r>
              <w:rPr>
                <w:rFonts w:ascii="Times New Roman;Times;Serif" w:hAnsi="Times New Roman;Times;Serif"/>
                <w:b/>
                <w:sz w:val="20"/>
              </w:rPr>
              <w:t>Commission”</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Securities and Exchange Commission of the United States of America or any other federal agency for the time being administering the Securities Act;</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both"/>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w:t>
            </w:r>
            <w:r>
              <w:rPr>
                <w:rFonts w:ascii="Times New Roman;Times;Serif" w:hAnsi="Times New Roman;Times;Serif"/>
                <w:b/>
                <w:sz w:val="20"/>
              </w:rPr>
              <w:t>Companies Act” and “Act”</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Companies Act (Revised) of the Cayman Islands and any statutory amendment or re-enactment thereof. Where any provision of the Companies Act is referred to, the reference is to that provision as amended by any law for the time being in force;</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w:t>
            </w:r>
            <w:r>
              <w:rPr>
                <w:rFonts w:ascii="Times New Roman;Times;Serif" w:hAnsi="Times New Roman;Times;Serif"/>
                <w:b/>
                <w:sz w:val="20"/>
              </w:rPr>
              <w:t>Company”</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Kaixin Holdings, a Cayman Islands exempted company limited by shares;</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w:t>
            </w:r>
            <w:r>
              <w:rPr>
                <w:rFonts w:ascii="Times New Roman;Times;Serif" w:hAnsi="Times New Roman;Times;Serif"/>
                <w:b/>
                <w:sz w:val="20"/>
              </w:rPr>
              <w:t>Company’s website”</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website of the Company, the address or domain name of which has been notified to Members;</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w:t>
            </w:r>
            <w:r>
              <w:rPr>
                <w:rFonts w:ascii="Times New Roman;Times;Serif" w:hAnsi="Times New Roman;Times;Serif"/>
                <w:b/>
                <w:sz w:val="20"/>
              </w:rPr>
              <w:t>debenture” and “debenture holder”</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debenture and debenture holder(s)respectively, as those terms are defined in the rules of the Designated Stock Exchange;</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w:t>
            </w:r>
            <w:r>
              <w:rPr>
                <w:rFonts w:ascii="Times New Roman;Times;Serif" w:hAnsi="Times New Roman;Times;Serif"/>
                <w:b/>
                <w:sz w:val="20"/>
              </w:rPr>
              <w:t>Designated Stock Exchange”</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Nasdaq Stock Market or any other stock exchange on which the Company’s Ordinary Shares are listed for trading;</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w:t>
            </w:r>
            <w:r>
              <w:rPr>
                <w:rFonts w:ascii="Times New Roman;Times;Serif" w:hAnsi="Times New Roman;Times;Serif"/>
                <w:b/>
                <w:sz w:val="20"/>
              </w:rPr>
              <w:t>Dividend”</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shall include bonus issues of shares or other securities of the Company and distributions permitted by the Act to be categorised as dividends;</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w:t>
            </w:r>
            <w:r>
              <w:rPr>
                <w:rFonts w:ascii="Times New Roman;Times;Serif" w:hAnsi="Times New Roman;Times;Serif"/>
                <w:b/>
                <w:sz w:val="20"/>
              </w:rPr>
              <w:t>electronic”</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meaning given to it in the Electronic Transactions Act (Revised) of the Cayman Islands and any amendment thereto or re-enactments thereof for the time being in force;</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w:t>
            </w:r>
            <w:r>
              <w:rPr>
                <w:rFonts w:ascii="Times New Roman;Times;Serif" w:hAnsi="Times New Roman;Times;Serif"/>
                <w:b/>
                <w:sz w:val="20"/>
              </w:rPr>
              <w:t>electronic communication”</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electronic posting to the Company’s Website, transmission to any number, address or internet website or other electronic delivery methods as otherwise decided and approved by not less than two-thirds of the vote of the Board;</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w:t>
            </w:r>
            <w:r>
              <w:rPr>
                <w:rFonts w:ascii="Times New Roman;Times;Serif" w:hAnsi="Times New Roman;Times;Serif"/>
                <w:b/>
                <w:sz w:val="20"/>
              </w:rPr>
              <w:t>euro, or euro€”</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euros, the legal currency of certain member states of the European Union;</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w:t>
            </w:r>
            <w:r>
              <w:rPr>
                <w:rFonts w:ascii="Times New Roman;Times;Serif" w:hAnsi="Times New Roman;Times;Serif"/>
                <w:b/>
                <w:sz w:val="20"/>
              </w:rPr>
              <w:t>month”</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calendar month;</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w:t>
            </w:r>
            <w:r>
              <w:rPr>
                <w:rFonts w:ascii="Times New Roman;Times;Serif" w:hAnsi="Times New Roman;Times;Serif"/>
                <w:b/>
                <w:sz w:val="20"/>
              </w:rPr>
              <w:t>Ordinary Resolution”</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resolution:</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passed by a simple majority of votes cast by such Members as, being entitled to do so, vote in person or, in the case of any Member being an organisation, by its duly authorised representative or, where proxies are allowed, by proxy at a general meeting of the Company; or</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8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11"/>
        <w:gridCol w:w="8619"/>
      </w:tblGrid>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Ordinary Share”</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 Class A Ordinary Share or a Class B Ordinary Share;</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ordinary shares”</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Ordinary Shares, collectively or any of them;</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paid up”</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paid up as to the par value and any premium payable in respect of the issue of any shares and includes credited as paid up;</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Person”</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natural person, firm, company, joint venture, partnership, corporation, association or other entity (whether or not having a separate legal personality) or any of them as the context so requires;</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Register of Members”</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register kept by the Company in accordance with the Companies Act;</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Seal”</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Common Seal of the Company (if adopted) including any facsimile thereof;</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secretary”</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person appointed as company secretary by the Board from time to time;</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Securities Act”</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Act of 1933 of the United States of America, as amended, or any similar federal statute and the rules and regulations of the Commission thereunder, all as the same shall be in effect at the time;</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Securities Exchange Act”</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Exchange Act of 1934 of the United States of America, as amended, or any similar federal statute and the rules and regulations of the Commission thereunder, all as the same shall be in effect at the time;</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Series A Preferred Shares”</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Series A convertible preferred shares of a par value of euro€$0.0001 each in the capital of the Company and having the rights, benefits and privileges provided for in a certificate of designation authorized by the Board of Directors;</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Series D Preferred Shares”</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Series D convertible preferred shares of a par value of euro€0.0001 each in the capital of the Company and having the rights, benefits and privileges provided for in a certificate of designation authorized by the Board of Directors;</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Series F Preferred Shares”</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Series F convertible preferred shares of a par value of euro€0.00005 each in the capital of the Company and having the rights, benefits and privileges provided for in a certificate of designation authorized by the Board of Directors;</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Series G Preferred Shares”</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Series G convertible preferred shares of a par value of euro€0.00075 each in the capital of the Company and having the rights, benefits and privileges provided for in a certificate of designation authorized by the Board of Directors;</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Series H Preferred Shares”</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Series H convertible preferred shares of a par value of euro€0.00075 each in the capital of the Company and having the rights, benefits and privileges provided for in a certificate of designation authorized by the Board of Directors;</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Series I Preferred Shares”</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Series I convertible preferred shares of a par value of euro€0.00075 each in the capital of the Company and having the rights, benefits and privileges provided for in a certificate of designation authorized by the Board of Directors;</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Series J Preferred Shares”</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Series J convertible preferred shares of a par value of euro€0.00075 each in the capital of the Company and having the rights, benefits and privileges provided for in a certificate of designation authorized by the Board of Directors;</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w:t>
            </w:r>
            <w:r>
              <w:rPr>
                <w:rFonts w:ascii="Times New Roman;Times;Serif" w:hAnsi="Times New Roman;Times;Serif"/>
                <w:b/>
                <w:sz w:val="20"/>
              </w:rPr>
              <w:t>Series K Preferred Shares”</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Series K convertible preferred shares of a par value of euro€0.00075 each in the capital of the Company and having the rights, benefits and privileges provided for in a certificate of designation authorized by the Board of Directors;</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32"/>
        <w:gridCol w:w="8898"/>
      </w:tblGrid>
      <w:tr>
        <w:trPr/>
        <w:tc>
          <w:tcPr>
            <w:tcW w:w="75"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pPr>
            <w:r>
              <w:rPr/>
              <w:t>“</w:t>
            </w:r>
            <w:r>
              <w:rPr>
                <w:rFonts w:ascii="Times New Roman;Times;Serif" w:hAnsi="Times New Roman;Times;Serif"/>
                <w:b/>
                <w:sz w:val="20"/>
              </w:rPr>
              <w:t>share”</w:t>
            </w:r>
          </w:p>
        </w:tc>
        <w:tc>
          <w:tcPr>
            <w:tcW w:w="8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share in the capital of the Company, without regard to class and includes a fraction of a share;</w:t>
            </w:r>
          </w:p>
        </w:tc>
      </w:tr>
      <w:tr>
        <w:trPr/>
        <w:tc>
          <w:tcPr>
            <w:tcW w:w="75"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pPr>
            <w:r>
              <w:rPr/>
              <w:t>“</w:t>
            </w:r>
            <w:r>
              <w:rPr>
                <w:rFonts w:ascii="Times New Roman;Times;Serif" w:hAnsi="Times New Roman;Times;Serif"/>
                <w:b/>
                <w:sz w:val="20"/>
              </w:rPr>
              <w:t>signed”</w:t>
            </w:r>
          </w:p>
        </w:tc>
        <w:tc>
          <w:tcPr>
            <w:tcW w:w="8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 signature or representation of a signature affixed by mechanical means or an electronic symbol or process attached to or logically associated with an electronic communication and executed or adopted by a person with the intent to sign the electronic communication;</w:t>
            </w:r>
          </w:p>
        </w:tc>
      </w:tr>
      <w:tr>
        <w:trPr/>
        <w:tc>
          <w:tcPr>
            <w:tcW w:w="75"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pPr>
            <w:r>
              <w:rPr/>
              <w:t>“</w:t>
            </w:r>
            <w:r>
              <w:rPr>
                <w:rFonts w:ascii="Times New Roman;Times;Serif" w:hAnsi="Times New Roman;Times;Serif"/>
                <w:b/>
                <w:sz w:val="20"/>
              </w:rPr>
              <w:t>Special Resolution”</w:t>
            </w:r>
          </w:p>
        </w:tc>
        <w:tc>
          <w:tcPr>
            <w:tcW w:w="8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b/>
              </w:rPr>
            </w:pPr>
            <w:r>
              <w:rPr>
                <w:b/>
              </w:rPr>
              <w:t>(a)</w:t>
            </w:r>
          </w:p>
        </w:tc>
        <w:tc>
          <w:tcPr>
            <w:tcW w:w="9929" w:type="dxa"/>
            <w:tcBorders/>
            <w:vAlign w:val="center"/>
          </w:tcPr>
          <w:p>
            <w:pPr>
              <w:pStyle w:val="TableContents"/>
              <w:bidi w:val="0"/>
              <w:spacing w:before="0" w:after="283"/>
              <w:jc w:val="both"/>
              <w:rPr/>
            </w:pPr>
            <w:r>
              <w:rPr/>
              <w:t>passed by a majority of not less than two-thirds (2/3) of the votes cast by such Members as, being entitled to do so, vote in person or, in the case of any Member being an organization, by its duly authorised representative or, where proxies are allowed, by proxy at a general meeting of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b/>
              </w:rPr>
            </w:pPr>
            <w:r>
              <w:rPr>
                <w:b/>
              </w:rPr>
              <w:t>(b)</w:t>
            </w:r>
          </w:p>
        </w:tc>
        <w:tc>
          <w:tcPr>
            <w:tcW w:w="9915" w:type="dxa"/>
            <w:tcBorders/>
            <w:vAlign w:val="center"/>
          </w:tcPr>
          <w:p>
            <w:pPr>
              <w:pStyle w:val="TableContents"/>
              <w:bidi w:val="0"/>
              <w:spacing w:before="0" w:after="283"/>
              <w:jc w:val="both"/>
              <w:rPr/>
            </w:pPr>
            <w:r>
              <w:rPr/>
              <w:t>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1"/>
        <w:gridCol w:w="8319"/>
      </w:tblGrid>
      <w:tr>
        <w:trPr/>
        <w:tc>
          <w:tcPr>
            <w:tcW w:w="7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both"/>
              <w:rPr/>
            </w:pPr>
            <w:r>
              <w:rPr/>
              <w:t>“</w:t>
            </w:r>
            <w:r>
              <w:rPr>
                <w:rFonts w:ascii="Times New Roman;Times;Serif" w:hAnsi="Times New Roman;Times;Serif"/>
                <w:b/>
                <w:sz w:val="20"/>
              </w:rPr>
              <w:t>Statutes”</w:t>
            </w:r>
          </w:p>
        </w:tc>
        <w:tc>
          <w:tcPr>
            <w:tcW w:w="83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Companies Act and every other law and regulation of the legislature of the Cayman Islands for the time being in force concerning companies and affecting the Company, its Memorandum of Association and/or these Articles;</w:t>
            </w:r>
          </w:p>
        </w:tc>
      </w:tr>
      <w:tr>
        <w:trPr/>
        <w:tc>
          <w:tcPr>
            <w:tcW w:w="7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left"/>
              <w:rPr/>
            </w:pPr>
            <w:r>
              <w:rPr/>
              <w:t> </w:t>
            </w:r>
          </w:p>
        </w:tc>
        <w:tc>
          <w:tcPr>
            <w:tcW w:w="83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both"/>
              <w:rPr/>
            </w:pPr>
            <w:r>
              <w:rPr/>
              <w:t>“</w:t>
            </w:r>
            <w:r>
              <w:rPr>
                <w:rFonts w:ascii="Times New Roman;Times;Serif" w:hAnsi="Times New Roman;Times;Serif"/>
                <w:b/>
                <w:sz w:val="20"/>
              </w:rPr>
              <w:t>Subsidiaries”</w:t>
            </w:r>
          </w:p>
        </w:tc>
        <w:tc>
          <w:tcPr>
            <w:tcW w:w="83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any Person, any or all corporations, partnerships, limited liability companies, joint ventures, associations and other entities controlled by such person directly or indirectly through one or more intermediaries;</w:t>
            </w:r>
          </w:p>
        </w:tc>
      </w:tr>
      <w:tr>
        <w:trPr/>
        <w:tc>
          <w:tcPr>
            <w:tcW w:w="7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left"/>
              <w:rPr/>
            </w:pPr>
            <w:r>
              <w:rPr/>
              <w:t> </w:t>
            </w:r>
          </w:p>
        </w:tc>
        <w:tc>
          <w:tcPr>
            <w:tcW w:w="83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left"/>
              <w:rPr/>
            </w:pPr>
            <w:r>
              <w:rPr/>
              <w:t>“</w:t>
            </w:r>
            <w:r>
              <w:rPr>
                <w:rFonts w:ascii="Times New Roman;Times;Serif" w:hAnsi="Times New Roman;Times;Serif"/>
                <w:b/>
                <w:sz w:val="20"/>
              </w:rPr>
              <w:t>Transfer”</w:t>
            </w:r>
          </w:p>
        </w:tc>
        <w:tc>
          <w:tcPr>
            <w:tcW w:w="8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sale, transfer or other disposition, whether or not for value;</w:t>
            </w:r>
          </w:p>
        </w:tc>
      </w:tr>
      <w:tr>
        <w:trPr/>
        <w:tc>
          <w:tcPr>
            <w:tcW w:w="7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left"/>
              <w:rPr/>
            </w:pPr>
            <w:r>
              <w:rPr/>
              <w:t> </w:t>
            </w:r>
          </w:p>
        </w:tc>
        <w:tc>
          <w:tcPr>
            <w:tcW w:w="83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left"/>
              <w:rPr/>
            </w:pPr>
            <w:r>
              <w:rPr/>
              <w:t>“</w:t>
            </w:r>
            <w:r>
              <w:rPr>
                <w:rFonts w:ascii="Times New Roman;Times;Serif" w:hAnsi="Times New Roman;Times;Serif"/>
                <w:b/>
                <w:sz w:val="20"/>
              </w:rPr>
              <w:t>United States Dollars,” or “US$”</w:t>
            </w:r>
          </w:p>
        </w:tc>
        <w:tc>
          <w:tcPr>
            <w:tcW w:w="8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dollars, the legal currency of the United States of America; and</w:t>
            </w:r>
          </w:p>
        </w:tc>
      </w:tr>
      <w:tr>
        <w:trPr/>
        <w:tc>
          <w:tcPr>
            <w:tcW w:w="7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left"/>
              <w:rPr/>
            </w:pPr>
            <w:r>
              <w:rPr/>
              <w:t> </w:t>
            </w:r>
          </w:p>
        </w:tc>
        <w:tc>
          <w:tcPr>
            <w:tcW w:w="83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left"/>
              <w:rPr/>
            </w:pPr>
            <w:r>
              <w:rPr/>
              <w:t>“</w:t>
            </w:r>
            <w:r>
              <w:rPr>
                <w:rFonts w:ascii="Times New Roman;Times;Serif" w:hAnsi="Times New Roman;Times;Serif"/>
                <w:b/>
                <w:sz w:val="20"/>
              </w:rPr>
              <w:t>year”</w:t>
            </w:r>
          </w:p>
        </w:tc>
        <w:tc>
          <w:tcPr>
            <w:tcW w:w="8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calendar year.</w:t>
            </w:r>
          </w:p>
        </w:tc>
      </w:tr>
    </w:tbl>
    <w:p>
      <w:pPr>
        <w:pStyle w:val="TextBody"/>
        <w:bidi w:val="0"/>
        <w:spacing w:before="0" w:after="0"/>
        <w:ind w:left="0" w:right="0" w:hanging="0"/>
        <w:jc w:val="left"/>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38"/>
        <w:gridCol w:w="20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5690" w:type="dxa"/>
            <w:tcBorders/>
            <w:vAlign w:val="center"/>
          </w:tcPr>
          <w:p>
            <w:pPr>
              <w:pStyle w:val="TableContents"/>
              <w:bidi w:val="0"/>
              <w:spacing w:before="0" w:after="283"/>
              <w:jc w:val="both"/>
              <w:rPr/>
            </w:pPr>
            <w:r>
              <w:rPr/>
              <w:t>In these Articles, save where the context requires otherwise:</w:t>
            </w:r>
          </w:p>
        </w:tc>
      </w:tr>
    </w:tbl>
    <w:p>
      <w:pPr>
        <w:pStyle w:val="TextBody"/>
        <w:bidi w:val="0"/>
        <w:spacing w:before="0" w:after="0"/>
        <w:ind w:left="0" w:right="0" w:hanging="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275"/>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970" w:type="dxa"/>
            <w:tcBorders/>
            <w:vAlign w:val="center"/>
          </w:tcPr>
          <w:p>
            <w:pPr>
              <w:pStyle w:val="TableContents"/>
              <w:bidi w:val="0"/>
              <w:spacing w:before="0" w:after="283"/>
              <w:jc w:val="both"/>
              <w:rPr/>
            </w:pPr>
            <w:r>
              <w:rPr/>
              <w:t>words importing the singular number shall include the plural number and vice versa;</w:t>
            </w:r>
          </w:p>
        </w:tc>
      </w:tr>
    </w:tbl>
    <w:p>
      <w:pPr>
        <w:pStyle w:val="TextBody"/>
        <w:bidi w:val="0"/>
        <w:spacing w:before="0" w:after="0"/>
        <w:ind w:left="0" w:right="0" w:hanging="0"/>
        <w:jc w:val="left"/>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29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370" w:type="dxa"/>
            <w:tcBorders/>
            <w:vAlign w:val="center"/>
          </w:tcPr>
          <w:p>
            <w:pPr>
              <w:pStyle w:val="TableContents"/>
              <w:bidi w:val="0"/>
              <w:spacing w:before="0" w:after="283"/>
              <w:jc w:val="both"/>
              <w:rPr/>
            </w:pPr>
            <w:r>
              <w:rPr/>
              <w:t>words importing the masculine gender only shall include the feminine gender;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t>words importing persons only shall include companies or associations or bodies of persons, whether corporate or not;</w:t>
            </w:r>
          </w:p>
        </w:tc>
      </w:tr>
    </w:tbl>
    <w:p>
      <w:pPr>
        <w:pStyle w:val="TextBody"/>
        <w:bidi w:val="0"/>
        <w:spacing w:before="0" w:after="0"/>
        <w:ind w:left="0" w:right="0" w:hanging="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29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7955" w:type="dxa"/>
            <w:tcBorders/>
            <w:vAlign w:val="center"/>
          </w:tcPr>
          <w:p>
            <w:pPr>
              <w:pStyle w:val="TableContents"/>
              <w:bidi w:val="0"/>
              <w:spacing w:before="0" w:after="283"/>
              <w:jc w:val="both"/>
              <w:rPr/>
            </w:pPr>
            <w:r>
              <w:rPr/>
              <w:t>“</w:t>
            </w:r>
            <w:r>
              <w:rPr/>
              <w:t>may” shall be construed as permissive and “shall” shall be construed as imperative;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(e)</w:t>
            </w:r>
          </w:p>
        </w:tc>
        <w:tc>
          <w:tcPr>
            <w:tcW w:w="9908" w:type="dxa"/>
            <w:tcBorders/>
            <w:vAlign w:val="center"/>
          </w:tcPr>
          <w:p>
            <w:pPr>
              <w:pStyle w:val="TableContents"/>
              <w:bidi w:val="0"/>
              <w:spacing w:before="0" w:after="283"/>
              <w:jc w:val="both"/>
              <w:rPr/>
            </w:pPr>
            <w:r>
              <w:rPr/>
              <w:t>references to a statutory enactment shall include reference to any amendment or re-enactment thereof for the time being in force;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(f)</w:t>
            </w:r>
          </w:p>
        </w:tc>
        <w:tc>
          <w:tcPr>
            <w:tcW w:w="9960" w:type="dxa"/>
            <w:tcBorders/>
            <w:vAlign w:val="center"/>
          </w:tcPr>
          <w:p>
            <w:pPr>
              <w:pStyle w:val="TableContents"/>
              <w:bidi w:val="0"/>
              <w:spacing w:before="0" w:after="283"/>
              <w:jc w:val="both"/>
              <w:rPr/>
            </w:pPr>
            <w:r>
              <w:rPr/>
              <w:t>any phrase introduced by the terms “including”, “include”, “in particular” or any similar expression shall be construed as illustrative and shall not limit the sense of the words preceding those terms; and</w:t>
            </w:r>
          </w:p>
        </w:tc>
      </w:tr>
    </w:tbl>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9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7655" w:type="dxa"/>
            <w:tcBorders/>
            <w:vAlign w:val="center"/>
          </w:tcPr>
          <w:p>
            <w:pPr>
              <w:pStyle w:val="TableContents"/>
              <w:bidi w:val="0"/>
              <w:spacing w:before="0" w:after="283"/>
              <w:jc w:val="both"/>
              <w:rPr/>
            </w:pPr>
            <w:r>
              <w:rPr/>
              <w:t>Section 8 and 19(3) of the Electronic Transactions Act (Revised) shall not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3.</w:t>
            </w:r>
          </w:p>
        </w:tc>
        <w:tc>
          <w:tcPr>
            <w:tcW w:w="9993" w:type="dxa"/>
            <w:tcBorders/>
            <w:vAlign w:val="center"/>
          </w:tcPr>
          <w:p>
            <w:pPr>
              <w:pStyle w:val="TableContents"/>
              <w:bidi w:val="0"/>
              <w:spacing w:before="0" w:after="283"/>
              <w:jc w:val="both"/>
              <w:rPr/>
            </w:pPr>
            <w:r>
              <w:rPr/>
              <w:t>Subject to the last two preceding Articles, any words defined in the Companies Act shall, if not inconsistent with the subject or context, bear the same meaning in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w:t>
      </w:r>
    </w:p>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0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8960" w:type="dxa"/>
            <w:tcBorders/>
            <w:vAlign w:val="center"/>
          </w:tcPr>
          <w:p>
            <w:pPr>
              <w:pStyle w:val="TableContents"/>
              <w:bidi w:val="0"/>
              <w:spacing w:before="0" w:after="283"/>
              <w:jc w:val="both"/>
              <w:rPr/>
            </w:pPr>
            <w:r>
              <w:rPr/>
              <w:t>Subject to the Statutes, the business of the Company may be conducted as the Directors see 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5.</w:t>
            </w:r>
          </w:p>
        </w:tc>
        <w:tc>
          <w:tcPr>
            <w:tcW w:w="10008" w:type="dxa"/>
            <w:tcBorders/>
            <w:vAlign w:val="center"/>
          </w:tcPr>
          <w:p>
            <w:pPr>
              <w:pStyle w:val="TableContents"/>
              <w:bidi w:val="0"/>
              <w:spacing w:before="0" w:after="283"/>
              <w:jc w:val="both"/>
              <w:rPr/>
            </w:pPr>
            <w:r>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6.</w:t>
            </w:r>
          </w:p>
        </w:tc>
        <w:tc>
          <w:tcPr>
            <w:tcW w:w="9999" w:type="dxa"/>
            <w:tcBorders/>
            <w:vAlign w:val="center"/>
          </w:tcPr>
          <w:p>
            <w:pPr>
              <w:pStyle w:val="TableContents"/>
              <w:bidi w:val="0"/>
              <w:spacing w:before="0" w:after="283"/>
              <w:jc w:val="both"/>
              <w:rPr/>
            </w:pPr>
            <w:r>
              <w:rPr/>
              <w:t>Subject to these Articles, all Shares for the time being unissued shall be under the control of the Directors who may, in their absolute discretion and without the approval of the Members, cause the Company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tc>
      </w:tr>
    </w:tbl>
    <w:p>
      <w:pPr>
        <w:pStyle w:val="TextBody"/>
        <w:bidi w:val="0"/>
        <w:spacing w:before="0" w:after="0"/>
        <w:ind w:left="0" w:right="0" w:hanging="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275"/>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9245" w:type="dxa"/>
            <w:tcBorders/>
            <w:vAlign w:val="center"/>
          </w:tcPr>
          <w:p>
            <w:pPr>
              <w:pStyle w:val="TableContents"/>
              <w:bidi w:val="0"/>
              <w:spacing w:before="0" w:after="283"/>
              <w:jc w:val="both"/>
              <w:rPr/>
            </w:pPr>
            <w:r>
              <w:rPr/>
              <w:t>grant options with respect to Shares and issue warrants or similar instruments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7.</w:t>
            </w:r>
          </w:p>
        </w:tc>
        <w:tc>
          <w:tcPr>
            <w:tcW w:w="10004" w:type="dxa"/>
            <w:tcBorders/>
            <w:vAlign w:val="center"/>
          </w:tcPr>
          <w:p>
            <w:pPr>
              <w:pStyle w:val="TableContents"/>
              <w:bidi w:val="0"/>
              <w:spacing w:before="0" w:after="283"/>
              <w:jc w:val="both"/>
              <w:rPr/>
            </w:pPr>
            <w:r>
              <w:rPr/>
              <w:t>The Directors may provide, out of the unissued shares, for series of preferred shares. Before any preferred shares of any such series are issued, the Directors shall fix, by resolution or resolutions, the following provisions of the preferred shares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t>the designation of such series, the number of preferred shares to constitute such series and the subscription price thereof if different from the par value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whether the preferred shares of such series shall have voting rights, in addition to any voting rights provided by law, and, if so, the terms of such voting rights, which may be general or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or any other series of preferred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(d)</w:t>
            </w:r>
          </w:p>
        </w:tc>
        <w:tc>
          <w:tcPr>
            <w:tcW w:w="9905" w:type="dxa"/>
            <w:tcBorders/>
            <w:vAlign w:val="center"/>
          </w:tcPr>
          <w:p>
            <w:pPr>
              <w:pStyle w:val="TableContents"/>
              <w:bidi w:val="0"/>
              <w:spacing w:before="0" w:after="283"/>
              <w:jc w:val="both"/>
              <w:rPr/>
            </w:pPr>
            <w:r>
              <w:rPr/>
              <w:t>whether the preferred shares of such series shall be subject to redemption by the Company, and, if so, the times, prices and other conditions of such redemption;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7" w:type="dxa"/>
            <w:tcBorders/>
            <w:vAlign w:val="center"/>
          </w:tcPr>
          <w:p>
            <w:pPr>
              <w:pStyle w:val="TableContents"/>
              <w:bidi w:val="0"/>
              <w:spacing w:before="0" w:after="283"/>
              <w:jc w:val="both"/>
              <w:rPr/>
            </w:pPr>
            <w:r>
              <w:rPr/>
              <w:t>the amount or amounts payable upon preferred shares of such series upon, and the rights of the holders of such series in, a voluntary or involuntary liquidation, dissolution or winding up, or upon any distribution of the assets,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(f)</w:t>
            </w:r>
          </w:p>
        </w:tc>
        <w:tc>
          <w:tcPr>
            <w:tcW w:w="9978" w:type="dxa"/>
            <w:tcBorders/>
            <w:vAlign w:val="center"/>
          </w:tcPr>
          <w:p>
            <w:pPr>
              <w:pStyle w:val="TableContents"/>
              <w:bidi w:val="0"/>
              <w:spacing w:before="0" w:after="283"/>
              <w:jc w:val="both"/>
              <w:rPr/>
            </w:pPr>
            <w:r>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(g)</w:t>
            </w:r>
          </w:p>
        </w:tc>
        <w:tc>
          <w:tcPr>
            <w:tcW w:w="9933" w:type="dxa"/>
            <w:tcBorders/>
            <w:vAlign w:val="center"/>
          </w:tcPr>
          <w:p>
            <w:pPr>
              <w:pStyle w:val="TableContents"/>
              <w:bidi w:val="0"/>
              <w:spacing w:before="0" w:after="283"/>
              <w:jc w:val="both"/>
              <w:rPr/>
            </w:pPr>
            <w:r>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(h)</w:t>
            </w:r>
          </w:p>
        </w:tc>
        <w:tc>
          <w:tcPr>
            <w:tcW w:w="9932" w:type="dxa"/>
            <w:tcBorders/>
            <w:vAlign w:val="center"/>
          </w:tcPr>
          <w:p>
            <w:pPr>
              <w:pStyle w:val="TableContents"/>
              <w:bidi w:val="0"/>
              <w:spacing w:before="0" w:after="283"/>
              <w:jc w:val="both"/>
              <w:rPr/>
            </w:pPr>
            <w:r>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both"/>
              <w:rPr/>
            </w:pPr>
            <w:r>
              <w:rPr/>
              <w:t>the conditions or restrictions, if any, upon the creation of indebtedness of the Company or upon the issue of any additional shares, including additional shares of such series or of any other class of shares or any other series of preferred shares;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(j)</w:t>
            </w:r>
          </w:p>
        </w:tc>
        <w:tc>
          <w:tcPr>
            <w:tcW w:w="9961" w:type="dxa"/>
            <w:tcBorders/>
            <w:vAlign w:val="center"/>
          </w:tcPr>
          <w:p>
            <w:pPr>
              <w:pStyle w:val="TableContents"/>
              <w:bidi w:val="0"/>
              <w:spacing w:before="0" w:after="283"/>
              <w:jc w:val="both"/>
              <w:rPr/>
            </w:pPr>
            <w:r>
              <w:rPr/>
              <w:t>any other powers, preferences and relative, participating, optional and other special rights, and any qualifications, limitations and restrictions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and subject to the Articles, the voting powers of any series of preferred shares may include the right, in the circumstances specified in the resolution or resolutions providing for the issuance of such preferred shares, to elect one or more Directors who shall serve for such term and have such voting powers as shall be stated in the resolution or resolutions providing for the issuance of such preferred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8.</w:t>
            </w:r>
          </w:p>
        </w:tc>
        <w:tc>
          <w:tcPr>
            <w:tcW w:w="10016" w:type="dxa"/>
            <w:tcBorders/>
            <w:vAlign w:val="center"/>
          </w:tcPr>
          <w:p>
            <w:pPr>
              <w:pStyle w:val="TableContents"/>
              <w:bidi w:val="0"/>
              <w:spacing w:before="0" w:after="283"/>
              <w:jc w:val="both"/>
              <w:rPr/>
            </w:pPr>
            <w:r>
              <w:rPr/>
              <w:t>The powers, preferences and relative, participating, optional and other special rights of each series of preferred shares, and the qualifications, limitations or restrictions thereof, if any, may differ from those of any and all other series at any time outstanding. All shares of any one series of preferred shares shall be identical in all respects with all other shares of such series, except that shares of any one series issued at different times may differ as to the dates from which dividends thereon shall be cumulative.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 RESTRICTIONS ATTACHING TO ORDINARY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9.</w:t>
            </w:r>
          </w:p>
        </w:tc>
        <w:tc>
          <w:tcPr>
            <w:tcW w:w="10009" w:type="dxa"/>
            <w:tcBorders/>
            <w:vAlign w:val="center"/>
          </w:tcPr>
          <w:p>
            <w:pPr>
              <w:pStyle w:val="TableContents"/>
              <w:bidi w:val="0"/>
              <w:spacing w:before="0" w:after="283"/>
              <w:jc w:val="both"/>
              <w:rPr/>
            </w:pPr>
            <w:r>
              <w:rPr/>
              <w:t>Save and except for voting rights and conversion rights as set out in this Article 9, the Class A Ordinary Shares and the Class B Ordinary Shares shall have the same rights, including economic and income rights, in all circumstances. The rights and restrictions attaching to the ordinary shares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1053" w:type="dxa"/>
        <w:jc w:val="left"/>
        <w:tblInd w:w="0" w:type="dxa"/>
        <w:tblLayout w:type="fixed"/>
        <w:tblCellMar>
          <w:top w:w="0" w:type="dxa"/>
          <w:left w:w="0" w:type="dxa"/>
          <w:bottom w:w="0" w:type="dxa"/>
          <w:right w:w="0" w:type="dxa"/>
        </w:tblCellMar>
      </w:tblPr>
      <w:tblGrid>
        <w:gridCol w:w="38"/>
        <w:gridCol w:w="275"/>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40" w:type="dxa"/>
            <w:tcBorders/>
            <w:vAlign w:val="center"/>
          </w:tcPr>
          <w:p>
            <w:pPr>
              <w:pStyle w:val="TableContents"/>
              <w:bidi w:val="0"/>
              <w:spacing w:before="0" w:after="283"/>
              <w:jc w:val="both"/>
              <w:rPr/>
            </w:pPr>
            <w:r>
              <w:rPr/>
              <w:t>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shall be entitled to such dividends as the Directors may in their absolute discretion lawfully declare from time to time.</w:t>
      </w:r>
    </w:p>
    <w:p>
      <w:pPr>
        <w:pStyle w:val="TextBody"/>
        <w:bidi w:val="0"/>
        <w:spacing w:before="0" w:after="0"/>
        <w:ind w:left="0" w:right="0" w:hanging="0"/>
        <w:jc w:val="left"/>
        <w:rPr>
          <w:caps w:val="false"/>
          <w:smallCaps w:val="false"/>
        </w:rPr>
      </w:pPr>
      <w:r>
        <w:rPr>
          <w:caps w:val="false"/>
          <w:smallCaps w:val="false"/>
        </w:rPr>
        <w:t> </w:t>
      </w:r>
    </w:p>
    <w:tbl>
      <w:tblPr>
        <w:tblW w:w="1038" w:type="dxa"/>
        <w:jc w:val="left"/>
        <w:tblInd w:w="0" w:type="dxa"/>
        <w:tblLayout w:type="fixed"/>
        <w:tblCellMar>
          <w:top w:w="0" w:type="dxa"/>
          <w:left w:w="0" w:type="dxa"/>
          <w:bottom w:w="0" w:type="dxa"/>
          <w:right w:w="0" w:type="dxa"/>
        </w:tblCellMar>
      </w:tblPr>
      <w:tblGrid>
        <w:gridCol w:w="38"/>
        <w:gridCol w:w="29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10" w:type="dxa"/>
            <w:tcBorders/>
            <w:vAlign w:val="center"/>
          </w:tcPr>
          <w:p>
            <w:pPr>
              <w:pStyle w:val="TableContents"/>
              <w:bidi w:val="0"/>
              <w:spacing w:before="0" w:after="283"/>
              <w:jc w:val="both"/>
              <w:rPr/>
            </w:pPr>
            <w:r>
              <w:rPr/>
              <w:t>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shall be entitled to a return of capital on liquidation, dissolution or winding-up of the Company (other than on a conversion, redemption or purchase of shares, or an equity financing or series of financings that do not constitute the sale of all or substantially all of the shares of the Company).</w:t>
      </w:r>
    </w:p>
    <w:p>
      <w:pPr>
        <w:pStyle w:val="TextBody"/>
        <w:bidi w:val="0"/>
        <w:spacing w:before="0" w:after="0"/>
        <w:ind w:left="0" w:right="0" w:hanging="0"/>
        <w:jc w:val="left"/>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275"/>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420" w:type="dxa"/>
            <w:tcBorders/>
            <w:vAlign w:val="center"/>
          </w:tcPr>
          <w:p>
            <w:pPr>
              <w:pStyle w:val="TableContents"/>
              <w:bidi w:val="0"/>
              <w:spacing w:before="0" w:after="283"/>
              <w:jc w:val="both"/>
              <w:rPr/>
            </w:pPr>
            <w:r>
              <w:rPr/>
              <w:t>Change of Control Event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Share shall have the same rights upon a Change of Control Event with respect to their rights and interests in the Company, including without limitation receiving the same consideration on a per share basis.</w:t>
      </w:r>
    </w:p>
    <w:p>
      <w:pPr>
        <w:pStyle w:val="TextBody"/>
        <w:bidi w:val="0"/>
        <w:spacing w:before="0" w:after="0"/>
        <w:ind w:left="0" w:right="0" w:hanging="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29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4205" w:type="dxa"/>
            <w:tcBorders/>
            <w:vAlign w:val="center"/>
          </w:tcPr>
          <w:p>
            <w:pPr>
              <w:pStyle w:val="TableContents"/>
              <w:bidi w:val="0"/>
              <w:spacing w:before="0" w:after="283"/>
              <w:jc w:val="both"/>
              <w:rPr/>
            </w:pPr>
            <w:r>
              <w:rPr/>
              <w:t>Attendance at General Meetings and Voting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have the right to receive notice of, attend, speak and vote at general meetings of the Company. Holders of Ordinary Shares shall at all times vote together as one class on all matters submitted to a vote by Members, and, where a poll is requested, each Class A Ordinary Share shall entitle the holder thereof to one (1) vote on all matters subject to vote at general meetings of the Company, and each Class B Ordinary Share shall entitle the holder thereof to one thousand (1,000) votes on all matters subject to vote at general meetings of the Company.</w:t>
      </w:r>
    </w:p>
    <w:p>
      <w:pPr>
        <w:pStyle w:val="TextBody"/>
        <w:bidi w:val="0"/>
        <w:spacing w:before="0" w:after="0"/>
        <w:ind w:left="0" w:right="0" w:hanging="0"/>
        <w:jc w:val="left"/>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275"/>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1130" w:type="dxa"/>
            <w:tcBorders/>
            <w:vAlign w:val="center"/>
          </w:tcPr>
          <w:p>
            <w:pPr>
              <w:pStyle w:val="TableContents"/>
              <w:bidi w:val="0"/>
              <w:spacing w:before="0" w:after="283"/>
              <w:jc w:val="both"/>
              <w:rPr/>
            </w:pPr>
            <w:r>
              <w:rPr/>
              <w:t>Conversion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both"/>
              <w:rPr/>
            </w:pPr>
            <w:r>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(ii)</w:t>
            </w:r>
          </w:p>
        </w:tc>
        <w:tc>
          <w:tcPr>
            <w:tcW w:w="9938" w:type="dxa"/>
            <w:tcBorders/>
            <w:vAlign w:val="center"/>
          </w:tcPr>
          <w:p>
            <w:pPr>
              <w:pStyle w:val="TableContents"/>
              <w:bidi w:val="0"/>
              <w:spacing w:before="0" w:after="283"/>
              <w:jc w:val="both"/>
              <w:rPr/>
            </w:pPr>
            <w:r>
              <w:rPr/>
              <w:t>Any conversion of Class B Ordinary Shares into Class A Ordinary Shares pursuant to these Articles shall be effected by means of the re-designation and re-classification of each relevant Class B Ordinary Share as a Class A Ordinary Share. Such conversion shall become effective forthwith upon entries being made in the Register of Members to record the re-designation and re-classification of the relevant Class B Ordinary Shares as Class A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62"/>
        <w:gridCol w:w="9804"/>
      </w:tblGrid>
      <w:tr>
        <w:trPr/>
        <w:tc>
          <w:tcPr>
            <w:tcW w:w="3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(iii)</w:t>
            </w:r>
          </w:p>
        </w:tc>
        <w:tc>
          <w:tcPr>
            <w:tcW w:w="9804" w:type="dxa"/>
            <w:tcBorders/>
            <w:vAlign w:val="center"/>
          </w:tcPr>
          <w:p>
            <w:pPr>
              <w:pStyle w:val="TableContents"/>
              <w:bidi w:val="0"/>
              <w:spacing w:before="0" w:after="283"/>
              <w:jc w:val="both"/>
              <w:rPr/>
            </w:pPr>
            <w:r>
              <w:rPr/>
              <w:t>Class A Ordinary Shares are not convertible into Class B Ordinary Shares under any circumstances.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 AND SHARE CERTIFICATES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10.</w:t>
            </w:r>
          </w:p>
        </w:tc>
        <w:tc>
          <w:tcPr>
            <w:tcW w:w="9899" w:type="dxa"/>
            <w:tcBorders/>
            <w:vAlign w:val="center"/>
          </w:tcPr>
          <w:p>
            <w:pPr>
              <w:pStyle w:val="TableContents"/>
              <w:bidi w:val="0"/>
              <w:spacing w:before="0" w:after="283"/>
              <w:jc w:val="both"/>
              <w:rPr/>
            </w:pPr>
            <w:r>
              <w:rPr/>
              <w:t>The Company shall maintain a Register of Members and a Member shall only be entitled to a share certificate if the Directors resolve that share certificates shall be issued. Share certificates (if any)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tc>
      </w:tr>
    </w:tbl>
    <w:p>
      <w:pPr>
        <w:pStyle w:val="TextBody"/>
        <w:bidi w:val="0"/>
        <w:spacing w:before="0" w:after="0"/>
        <w:ind w:left="0" w:right="0" w:hanging="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320"/>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785" w:type="dxa"/>
            <w:tcBorders/>
            <w:vAlign w:val="center"/>
          </w:tcPr>
          <w:p>
            <w:pPr>
              <w:pStyle w:val="TableContents"/>
              <w:bidi w:val="0"/>
              <w:spacing w:before="0" w:after="283"/>
              <w:jc w:val="both"/>
              <w:rPr/>
            </w:pPr>
            <w:r>
              <w:rPr/>
              <w:t>All share certificates shall bear legends required under the applicable laws, including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12.</w:t>
            </w:r>
          </w:p>
        </w:tc>
        <w:tc>
          <w:tcPr>
            <w:tcW w:w="9888" w:type="dxa"/>
            <w:tcBorders/>
            <w:vAlign w:val="center"/>
          </w:tcPr>
          <w:p>
            <w:pPr>
              <w:pStyle w:val="TableContents"/>
              <w:bidi w:val="0"/>
              <w:spacing w:before="0" w:after="283"/>
              <w:jc w:val="both"/>
              <w:rPr/>
            </w:pPr>
            <w:r>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13.</w:t>
            </w:r>
          </w:p>
        </w:tc>
        <w:tc>
          <w:tcPr>
            <w:tcW w:w="9896" w:type="dxa"/>
            <w:tcBorders/>
            <w:vAlign w:val="center"/>
          </w:tcPr>
          <w:p>
            <w:pPr>
              <w:pStyle w:val="TableContents"/>
              <w:bidi w:val="0"/>
              <w:spacing w:before="0" w:after="283"/>
              <w:jc w:val="both"/>
              <w:rPr/>
            </w:pPr>
            <w:r>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14.</w:t>
            </w:r>
          </w:p>
        </w:tc>
        <w:tc>
          <w:tcPr>
            <w:tcW w:w="9873" w:type="dxa"/>
            <w:tcBorders/>
            <w:vAlign w:val="center"/>
          </w:tcPr>
          <w:p>
            <w:pPr>
              <w:pStyle w:val="TableContents"/>
              <w:bidi w:val="0"/>
              <w:spacing w:before="0" w:after="283"/>
              <w:jc w:val="both"/>
              <w:rPr/>
            </w:pPr>
            <w:r>
              <w:rPr/>
              <w:t>In the event that shares are held jointly by several persons, any request may be made by any one of the joint holders and if so made shall be binding on all of the joint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15.</w:t>
            </w:r>
          </w:p>
        </w:tc>
        <w:tc>
          <w:tcPr>
            <w:tcW w:w="9878" w:type="dxa"/>
            <w:tcBorders/>
            <w:vAlign w:val="center"/>
          </w:tcPr>
          <w:p>
            <w:pPr>
              <w:pStyle w:val="TableContents"/>
              <w:bidi w:val="0"/>
              <w:spacing w:before="0" w:after="283"/>
              <w:jc w:val="both"/>
              <w:rPr/>
            </w:pPr>
            <w:r>
              <w:rPr/>
              <w:t>Shares of the Company are transferable; provided that the Board may, in its sole discretion, decline to register any transfer of any share which is not fully paid up or on which the Company has a lien.</w:t>
            </w:r>
          </w:p>
        </w:tc>
      </w:tr>
    </w:tbl>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75"/>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055" w:type="dxa"/>
            <w:tcBorders/>
            <w:vAlign w:val="center"/>
          </w:tcPr>
          <w:p>
            <w:pPr>
              <w:pStyle w:val="TableContents"/>
              <w:bidi w:val="0"/>
              <w:spacing w:before="0" w:after="283"/>
              <w:jc w:val="both"/>
              <w:rPr/>
            </w:pPr>
            <w:r>
              <w:rPr/>
              <w:t>The Directors may also decline to register any transfer of any share unless: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the instrument of transfer is lodged with the Company, accompanied by the certificate for the shares to which it relates and such other evidence as the Board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13"/>
        <w:gridCol w:w="9738"/>
      </w:tblGrid>
      <w:tr>
        <w:trPr/>
        <w:tc>
          <w:tcPr>
            <w:tcW w:w="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(ii)</w:t>
            </w:r>
          </w:p>
        </w:tc>
        <w:tc>
          <w:tcPr>
            <w:tcW w:w="9738" w:type="dxa"/>
            <w:tcBorders/>
            <w:vAlign w:val="center"/>
          </w:tcPr>
          <w:p>
            <w:pPr>
              <w:pStyle w:val="TableContents"/>
              <w:bidi w:val="0"/>
              <w:spacing w:before="0" w:after="283"/>
              <w:jc w:val="both"/>
              <w:rPr/>
            </w:pPr>
            <w:r>
              <w:rPr/>
              <w:t>the shares to be transferred are free of any lien in favor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536"/>
        <w:gridCol w:w="9611"/>
      </w:tblGrid>
      <w:tr>
        <w:trPr/>
        <w:tc>
          <w:tcPr>
            <w:tcW w:w="5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pPr>
            <w:r>
              <w:rPr/>
              <w:t>(iii)</w:t>
            </w:r>
          </w:p>
        </w:tc>
        <w:tc>
          <w:tcPr>
            <w:tcW w:w="9611" w:type="dxa"/>
            <w:tcBorders/>
            <w:vAlign w:val="center"/>
          </w:tcPr>
          <w:p>
            <w:pPr>
              <w:pStyle w:val="TableContents"/>
              <w:bidi w:val="0"/>
              <w:spacing w:before="0" w:after="283"/>
              <w:jc w:val="both"/>
              <w:rPr/>
            </w:pPr>
            <w:r>
              <w:rPr/>
              <w:t>the instrument of transfer is in respect of only one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73"/>
        <w:gridCol w:w="9571"/>
      </w:tblGrid>
      <w:tr>
        <w:trPr/>
        <w:tc>
          <w:tcPr>
            <w:tcW w:w="6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pPr>
            <w:r>
              <w:rPr/>
              <w:t>(iv)</w:t>
            </w:r>
          </w:p>
        </w:tc>
        <w:tc>
          <w:tcPr>
            <w:tcW w:w="9571" w:type="dxa"/>
            <w:tcBorders/>
            <w:vAlign w:val="center"/>
          </w:tcPr>
          <w:p>
            <w:pPr>
              <w:pStyle w:val="TableContents"/>
              <w:bidi w:val="0"/>
              <w:spacing w:before="0" w:after="283"/>
              <w:jc w:val="both"/>
              <w:rPr/>
            </w:pPr>
            <w:r>
              <w:rPr/>
              <w:t>the instrument of transfer is properly stamped, if required;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(v)</w:t>
            </w:r>
          </w:p>
        </w:tc>
        <w:tc>
          <w:tcPr>
            <w:tcW w:w="9931" w:type="dxa"/>
            <w:tcBorders/>
            <w:vAlign w:val="center"/>
          </w:tcPr>
          <w:p>
            <w:pPr>
              <w:pStyle w:val="TableContents"/>
              <w:bidi w:val="0"/>
              <w:spacing w:before="0" w:after="283"/>
              <w:jc w:val="both"/>
              <w:rPr/>
            </w:pPr>
            <w:r>
              <w:rPr/>
              <w:t>in the case of a transfer to joint holders, the number of joint holders to whom the Share is to be transferred does not exceed four; a fee of such maximum sum as the Designated Stock Exchange may determine to be payable, or such lesser sum as the Board may from time to time require, is paid to the Company in respect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If the Directors refuse to register a transfer they shall, within two months after the date on which the instrument of transfer was lodged, send to each of the transferor and the transferee notice of such refusal.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16.</w:t>
            </w:r>
          </w:p>
        </w:tc>
        <w:tc>
          <w:tcPr>
            <w:tcW w:w="9885" w:type="dxa"/>
            <w:tcBorders/>
            <w:vAlign w:val="center"/>
          </w:tcPr>
          <w:p>
            <w:pPr>
              <w:pStyle w:val="TableContents"/>
              <w:bidi w:val="0"/>
              <w:spacing w:before="0" w:after="283"/>
              <w:jc w:val="both"/>
              <w:rPr/>
            </w:pPr>
            <w:r>
              <w:rPr/>
              <w:t>The registration of transfers may, on 14 days’ notice being given by advertisement in one or more newspapers or by electronic means, be suspended and the register closed at such times and for such periods as the Board may from time to time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17.</w:t>
            </w:r>
          </w:p>
        </w:tc>
        <w:tc>
          <w:tcPr>
            <w:tcW w:w="9896" w:type="dxa"/>
            <w:tcBorders/>
            <w:vAlign w:val="center"/>
          </w:tcPr>
          <w:p>
            <w:pPr>
              <w:pStyle w:val="TableContents"/>
              <w:bidi w:val="0"/>
              <w:spacing w:before="0" w:after="283"/>
              <w:jc w:val="both"/>
              <w:rPr/>
            </w:pPr>
            <w:r>
              <w:rPr/>
              <w:t>The instrument of transfer of any share shall be in writing and executed by or on behalf of the transferor (and if the Directors so require, signed by the transferee). Without prejudice to the last preceding Article, the Board may also resolve, either generally or in any particular case, upon request by either the transferor or transferee, to accept mechanically executed transfers. The transferor shall be deemed to remain a holder of the share until the name of the transferee is entered in the Register of Members.</w:t>
            </w:r>
          </w:p>
        </w:tc>
      </w:tr>
    </w:tbl>
    <w:p>
      <w:pPr>
        <w:pStyle w:val="TextBody"/>
        <w:bidi w:val="0"/>
        <w:spacing w:before="0" w:after="0"/>
        <w:ind w:left="0" w:right="0" w:hanging="0"/>
        <w:jc w:val="left"/>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32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18.</w:t>
            </w:r>
          </w:p>
        </w:tc>
        <w:tc>
          <w:tcPr>
            <w:tcW w:w="6755" w:type="dxa"/>
            <w:tcBorders/>
            <w:vAlign w:val="center"/>
          </w:tcPr>
          <w:p>
            <w:pPr>
              <w:pStyle w:val="TableContents"/>
              <w:bidi w:val="0"/>
              <w:spacing w:before="0" w:after="283"/>
              <w:jc w:val="both"/>
              <w:rPr/>
            </w:pPr>
            <w:r>
              <w:rPr/>
              <w:t>All instruments of transfer registered shall be retained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0" w:right="0" w:hanging="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32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19.</w:t>
            </w:r>
          </w:p>
        </w:tc>
        <w:tc>
          <w:tcPr>
            <w:tcW w:w="7415" w:type="dxa"/>
            <w:tcBorders/>
            <w:vAlign w:val="center"/>
          </w:tcPr>
          <w:p>
            <w:pPr>
              <w:pStyle w:val="TableContents"/>
              <w:bidi w:val="0"/>
              <w:spacing w:before="0" w:after="283"/>
              <w:jc w:val="both"/>
              <w:rPr/>
            </w:pPr>
            <w:r>
              <w:rPr/>
              <w:t>Subject to the provisions of the Statutes and these Articles, the Company may: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issue shares on terms that they are to be redeemed or are liable to be redeemed at the option of the Company or the Member and the redemption of shares shall be effected on such terms and in such manner as the Board may, before the issue of such shares,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purchase its own shares (including any redeemable shares) on such terms and in such manner as have been approved by the Board or by the Members by Ordinary Resolution (provided that no such purchase may be made contrary to the terms or manner recommended by the Board), or are otherwise authorised by these Articles;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(c)</w:t>
            </w:r>
          </w:p>
        </w:tc>
        <w:tc>
          <w:tcPr>
            <w:tcW w:w="9920" w:type="dxa"/>
            <w:tcBorders/>
            <w:vAlign w:val="center"/>
          </w:tcPr>
          <w:p>
            <w:pPr>
              <w:pStyle w:val="TableContents"/>
              <w:bidi w:val="0"/>
              <w:spacing w:before="0" w:after="283"/>
              <w:jc w:val="both"/>
              <w:rPr/>
            </w:pPr>
            <w:r>
              <w:rPr/>
              <w:t>the Company may make a payment in respect of the redemption or purchase of its own shares in any manner permitted by the Statutes, including out of capital.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20.</w:t>
            </w:r>
          </w:p>
        </w:tc>
        <w:tc>
          <w:tcPr>
            <w:tcW w:w="9879" w:type="dxa"/>
            <w:tcBorders/>
            <w:vAlign w:val="center"/>
          </w:tcPr>
          <w:p>
            <w:pPr>
              <w:pStyle w:val="TableContents"/>
              <w:bidi w:val="0"/>
              <w:spacing w:before="0" w:after="283"/>
              <w:jc w:val="both"/>
              <w:rPr/>
            </w:pPr>
            <w:r>
              <w:rPr/>
              <w:t>Purchase of shares listed on the Designated Stock Exchange: the Company is authorised to purchase any share listed on the Designated Stock Exchange in accordance with the following manner of purchase: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both"/>
              <w:rPr/>
            </w:pPr>
            <w:r>
              <w:rPr/>
              <w:t>the maximum number of shares that may be repurchased shall be equal to the number of issued and outstanding shares less one share;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283"/>
              <w:jc w:val="both"/>
              <w:rPr/>
            </w:pPr>
            <w:r>
              <w:rPr/>
              <w:t>the repurchase shall be at such time, at such price and on such other terms as determined and agreed by the Board in their sole discretion; provided, however,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(i)</w:t>
            </w:r>
          </w:p>
        </w:tc>
        <w:tc>
          <w:tcPr>
            <w:tcW w:w="9969" w:type="dxa"/>
            <w:tcBorders/>
            <w:vAlign w:val="center"/>
          </w:tcPr>
          <w:p>
            <w:pPr>
              <w:pStyle w:val="TableContents"/>
              <w:bidi w:val="0"/>
              <w:spacing w:before="0" w:after="283"/>
              <w:jc w:val="both"/>
              <w:rPr/>
            </w:pPr>
            <w:r>
              <w:rPr/>
              <w:t>such repurchase transactions shall be in accordance with the relevant code, rules and regulations applicable to the listing of the shares on the Designated Stock Exchange;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(ii)</w:t>
            </w:r>
          </w:p>
        </w:tc>
        <w:tc>
          <w:tcPr>
            <w:tcW w:w="9888" w:type="dxa"/>
            <w:tcBorders/>
            <w:vAlign w:val="center"/>
          </w:tcPr>
          <w:p>
            <w:pPr>
              <w:pStyle w:val="TableContents"/>
              <w:bidi w:val="0"/>
              <w:spacing w:before="0" w:after="283"/>
              <w:jc w:val="both"/>
              <w:rPr/>
            </w:pPr>
            <w:r>
              <w:rPr/>
              <w:t>at the time of the repurchase, the Company is able to pay its debts as they fall due in the ordinary course of its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20A.</w:t>
            </w:r>
          </w:p>
        </w:tc>
        <w:tc>
          <w:tcPr>
            <w:tcW w:w="9667" w:type="dxa"/>
            <w:tcBorders/>
            <w:vAlign w:val="center"/>
          </w:tcPr>
          <w:p>
            <w:pPr>
              <w:pStyle w:val="TableContents"/>
              <w:bidi w:val="0"/>
              <w:spacing w:before="0" w:after="283"/>
              <w:jc w:val="left"/>
              <w:rPr/>
            </w:pPr>
            <w:r>
              <w:rPr/>
              <w:t>Purchase of shares not listed on the Designated Stock Exchange: the Company is authorised to purchase any shares not listed on the Designated Stock Exchange in accordance with the following manner of purchase: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the Company shall serve a repurchase notice in a form approved by the Board on the Member from whom the shares are to be repurchased at least two Business Days prior to the date specified in the notice as being the repurchase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both"/>
              <w:rPr/>
            </w:pPr>
            <w:r>
              <w:rPr/>
              <w:t>the price for the shares being repurchased shall be such price agreed between the Board and the applicable Member;</w:t>
            </w:r>
          </w:p>
        </w:tc>
      </w:tr>
    </w:tbl>
    <w:p>
      <w:pPr>
        <w:pStyle w:val="TextBody"/>
        <w:bidi w:val="0"/>
        <w:spacing w:before="0" w:after="0"/>
        <w:ind w:left="0" w:right="0" w:hanging="0"/>
        <w:jc w:val="left"/>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275"/>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7340" w:type="dxa"/>
            <w:tcBorders/>
            <w:vAlign w:val="center"/>
          </w:tcPr>
          <w:p>
            <w:pPr>
              <w:pStyle w:val="TableContents"/>
              <w:bidi w:val="0"/>
              <w:spacing w:before="0" w:after="283"/>
              <w:jc w:val="both"/>
              <w:rPr/>
            </w:pPr>
            <w:r>
              <w:rPr/>
              <w:t>the date of repurchase shall be the date specified in the repurchase notice;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the repurchase shall be on such other terms as specified in the repurchase notice as determined and agreed by the Board and the applicable Member in their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21.</w:t>
            </w:r>
          </w:p>
        </w:tc>
        <w:tc>
          <w:tcPr>
            <w:tcW w:w="9888" w:type="dxa"/>
            <w:tcBorders/>
            <w:vAlign w:val="center"/>
          </w:tcPr>
          <w:p>
            <w:pPr>
              <w:pStyle w:val="TableContents"/>
              <w:bidi w:val="0"/>
              <w:spacing w:before="0" w:after="283"/>
              <w:jc w:val="both"/>
              <w:rPr/>
            </w:pPr>
            <w:r>
              <w:rPr/>
              <w:t>The redemption or purchase of any share shall not be deemed to give rise to the redemption or purchase of any other share and the Company is not obligated to purchase any other share other than as may be required pursuant to applicable law and any other contractual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22.</w:t>
            </w:r>
          </w:p>
        </w:tc>
        <w:tc>
          <w:tcPr>
            <w:tcW w:w="9885" w:type="dxa"/>
            <w:tcBorders/>
            <w:vAlign w:val="center"/>
          </w:tcPr>
          <w:p>
            <w:pPr>
              <w:pStyle w:val="TableContents"/>
              <w:bidi w:val="0"/>
              <w:spacing w:before="0" w:after="283"/>
              <w:jc w:val="both"/>
              <w:rPr/>
            </w:pPr>
            <w:r>
              <w:rPr/>
              <w:t>The holder of the shares being purchased shall be bound to deliver up to the Company the certificate(s) (if any) thereof for cancellation and thereupon the Company shall pay to him the purchase or redemption monies or consideration in respect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 ATTACHING TO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23.</w:t>
            </w:r>
          </w:p>
        </w:tc>
        <w:tc>
          <w:tcPr>
            <w:tcW w:w="9895" w:type="dxa"/>
            <w:tcBorders/>
            <w:vAlign w:val="center"/>
          </w:tcPr>
          <w:p>
            <w:pPr>
              <w:pStyle w:val="TableContents"/>
              <w:bidi w:val="0"/>
              <w:spacing w:before="0" w:after="283"/>
              <w:jc w:val="both"/>
              <w:rPr/>
            </w:pPr>
            <w:r>
              <w:rPr/>
              <w:t>If at any time the share capital is divided into different classes or series of shares, the rights attaching to any class or series (unless otherwise provided by the terms of issue of the shares of that class or series) may, subject to these Articles, be varied or abrogated with the consent in writing of the holders of a majority of the issued shares of that class or series or with the sanction of a Special Resolution passed at a general meeting of the holders of the shares of that class or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24.</w:t>
            </w:r>
          </w:p>
        </w:tc>
        <w:tc>
          <w:tcPr>
            <w:tcW w:w="9872" w:type="dxa"/>
            <w:tcBorders/>
            <w:vAlign w:val="center"/>
          </w:tcPr>
          <w:p>
            <w:pPr>
              <w:pStyle w:val="TableContents"/>
              <w:bidi w:val="0"/>
              <w:spacing w:before="0" w:after="283"/>
              <w:jc w:val="both"/>
              <w:rPr/>
            </w:pPr>
            <w:r>
              <w:rPr/>
              <w:t>The provisions of these Articles relating to general meetings shall apply to every such general meeting of the holders of one class or series of shares except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separate general meetings of the holders of a class or series of shares may be called only by (i) the Chairman of the Board, or (ii) a majority of the entire Board of Directors (unless otherwise specifically provided by the terms of issue of the shares of such class or series). Nothing in this Article 24 shall be deemed to give any Member or Members the right to call a class or series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the necessary quorum shall be one or more persons holding or representing by proxy at least one-third of the issued shares of the class or series and any holder of shares of the class or series present in person or by proxy may demand a poll.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25.</w:t>
            </w:r>
          </w:p>
        </w:tc>
        <w:tc>
          <w:tcPr>
            <w:tcW w:w="9890" w:type="dxa"/>
            <w:tcBorders/>
            <w:vAlign w:val="center"/>
          </w:tcPr>
          <w:p>
            <w:pPr>
              <w:pStyle w:val="TableContents"/>
              <w:bidi w:val="0"/>
              <w:spacing w:before="0" w:after="283"/>
              <w:jc w:val="both"/>
              <w:rPr/>
            </w:pPr>
            <w:r>
              <w:rPr/>
              <w:t xml:space="preserve">The rights conferred upon the holders of the shares of any class or series issued with preferred or other rights shall not, unless otherwise expressly provided by the terms of issue of the shares of that class or series, be deemed to be varied by the creation or issue of further shares ranking in priority thereto or </w:t>
            </w:r>
            <w:r>
              <w:rPr>
                <w:i/>
              </w:rPr>
              <w:t xml:space="preserve">pari passu </w:t>
            </w:r>
            <w:r>
              <w:rPr/>
              <w:t>therewith.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ON SALE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26.</w:t>
            </w:r>
          </w:p>
        </w:tc>
        <w:tc>
          <w:tcPr>
            <w:tcW w:w="9896" w:type="dxa"/>
            <w:tcBorders/>
            <w:vAlign w:val="center"/>
          </w:tcPr>
          <w:p>
            <w:pPr>
              <w:pStyle w:val="TableContents"/>
              <w:bidi w:val="0"/>
              <w:spacing w:before="0" w:after="283"/>
              <w:jc w:val="both"/>
              <w:rPr/>
            </w:pPr>
            <w:r>
              <w:rPr/>
              <w:t>The Company may in so far as the Statutes from time to time permit make any payment of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fees as may be lawful.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NON-RECOGNITION OF TRUSTS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27.</w:t>
            </w:r>
          </w:p>
        </w:tc>
        <w:tc>
          <w:tcPr>
            <w:tcW w:w="9896" w:type="dxa"/>
            <w:tcBorders/>
            <w:vAlign w:val="center"/>
          </w:tcPr>
          <w:p>
            <w:pPr>
              <w:pStyle w:val="TableContents"/>
              <w:bidi w:val="0"/>
              <w:spacing w:before="0" w:after="283"/>
              <w:jc w:val="both"/>
              <w:rPr/>
            </w:pPr>
            <w:r>
              <w:rPr/>
              <w:t>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Statutes) any other rights in respect of any share except an absolute right to the entirety thereof vested in the registered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28.</w:t>
            </w:r>
          </w:p>
        </w:tc>
        <w:tc>
          <w:tcPr>
            <w:tcW w:w="9900" w:type="dxa"/>
            <w:tcBorders/>
            <w:vAlign w:val="center"/>
          </w:tcPr>
          <w:p>
            <w:pPr>
              <w:pStyle w:val="TableContents"/>
              <w:bidi w:val="0"/>
              <w:spacing w:before="0" w:after="283"/>
              <w:jc w:val="both"/>
              <w:rPr/>
            </w:pPr>
            <w:r>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29.</w:t>
            </w:r>
          </w:p>
        </w:tc>
        <w:tc>
          <w:tcPr>
            <w:tcW w:w="9897" w:type="dxa"/>
            <w:tcBorders/>
            <w:vAlign w:val="center"/>
          </w:tcPr>
          <w:p>
            <w:pPr>
              <w:pStyle w:val="TableContents"/>
              <w:bidi w:val="0"/>
              <w:spacing w:before="0" w:after="283"/>
              <w:jc w:val="both"/>
              <w:rPr/>
            </w:pPr>
            <w:r>
              <w:rPr/>
              <w:t>The Company may sell, in such manner as the Directors think fit, any shares on which the Company has a lien, but no sale shall be made unless some sum in respect of which the lien exists is presently payable nor until the expiration of 14 calendar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30.</w:t>
            </w:r>
          </w:p>
        </w:tc>
        <w:tc>
          <w:tcPr>
            <w:tcW w:w="9893" w:type="dxa"/>
            <w:tcBorders/>
            <w:vAlign w:val="center"/>
          </w:tcPr>
          <w:p>
            <w:pPr>
              <w:pStyle w:val="TableContents"/>
              <w:bidi w:val="0"/>
              <w:spacing w:before="0" w:after="283"/>
              <w:jc w:val="both"/>
              <w:rPr/>
            </w:pPr>
            <w:r>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31.</w:t>
            </w:r>
          </w:p>
        </w:tc>
        <w:tc>
          <w:tcPr>
            <w:tcW w:w="9891" w:type="dxa"/>
            <w:tcBorders/>
            <w:vAlign w:val="center"/>
          </w:tcPr>
          <w:p>
            <w:pPr>
              <w:pStyle w:val="TableContents"/>
              <w:bidi w:val="0"/>
              <w:spacing w:before="0" w:after="283"/>
              <w:jc w:val="both"/>
              <w:rPr/>
            </w:pPr>
            <w:r>
              <w:rPr/>
              <w:t>The proceeds of the sale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32.</w:t>
            </w:r>
          </w:p>
        </w:tc>
        <w:tc>
          <w:tcPr>
            <w:tcW w:w="9895" w:type="dxa"/>
            <w:tcBorders/>
            <w:vAlign w:val="center"/>
          </w:tcPr>
          <w:p>
            <w:pPr>
              <w:pStyle w:val="TableContents"/>
              <w:bidi w:val="0"/>
              <w:spacing w:before="0" w:after="283"/>
              <w:jc w:val="both"/>
              <w:rPr/>
            </w:pPr>
            <w:r>
              <w:rPr/>
              <w:t>Subject to the terms of allotment, the Directors may from time to time make calls upon the Members in respect of any money unpaid on their shares, and each Member shall (subject to receiving at least 14 calendar days’ notice specifying the time or times of payment) pay to the Company at the time or times so specified the amount called on his shares. A call shall be deemed to have been made at the time when the resolution of the Directors authorising such call was passed.</w:t>
            </w:r>
          </w:p>
        </w:tc>
      </w:tr>
    </w:tbl>
    <w:p>
      <w:pPr>
        <w:pStyle w:val="TextBody"/>
        <w:bidi w:val="0"/>
        <w:spacing w:before="0" w:after="0"/>
        <w:ind w:left="0" w:right="0" w:hanging="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320"/>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8795" w:type="dxa"/>
            <w:tcBorders/>
            <w:vAlign w:val="center"/>
          </w:tcPr>
          <w:p>
            <w:pPr>
              <w:pStyle w:val="TableContents"/>
              <w:bidi w:val="0"/>
              <w:spacing w:before="0" w:after="283"/>
              <w:jc w:val="both"/>
              <w:rPr/>
            </w:pPr>
            <w:r>
              <w:rPr/>
              <w:t>The joint holders of a share shall be jointly and severally liable to pay calls in respect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34.</w:t>
            </w:r>
          </w:p>
        </w:tc>
        <w:tc>
          <w:tcPr>
            <w:tcW w:w="9892" w:type="dxa"/>
            <w:tcBorders/>
            <w:vAlign w:val="center"/>
          </w:tcPr>
          <w:p>
            <w:pPr>
              <w:pStyle w:val="TableContents"/>
              <w:bidi w:val="0"/>
              <w:spacing w:before="0" w:after="283"/>
              <w:jc w:val="both"/>
              <w:rPr/>
            </w:pPr>
            <w:r>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1"/>
        <w:gridCol w:w="9876"/>
      </w:tblGrid>
      <w:tr>
        <w:trPr/>
        <w:tc>
          <w:tcPr>
            <w:tcW w:w="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35.</w:t>
            </w:r>
          </w:p>
        </w:tc>
        <w:tc>
          <w:tcPr>
            <w:tcW w:w="9876" w:type="dxa"/>
            <w:tcBorders/>
            <w:vAlign w:val="center"/>
          </w:tcPr>
          <w:p>
            <w:pPr>
              <w:pStyle w:val="TableContents"/>
              <w:bidi w:val="0"/>
              <w:spacing w:before="0" w:after="283"/>
              <w:jc w:val="both"/>
              <w:rPr/>
            </w:pPr>
            <w:r>
              <w:rPr/>
              <w:t>The Directors may make arrangements on the issue of shares for a difference between the Members, or the particular shares, in the amount of calls to be paid and in the times of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36.</w:t>
            </w:r>
          </w:p>
        </w:tc>
        <w:tc>
          <w:tcPr>
            <w:tcW w:w="9896" w:type="dxa"/>
            <w:tcBorders/>
            <w:vAlign w:val="center"/>
          </w:tcPr>
          <w:p>
            <w:pPr>
              <w:pStyle w:val="TableContents"/>
              <w:bidi w:val="0"/>
              <w:spacing w:before="0" w:after="283"/>
              <w:jc w:val="both"/>
              <w:rPr/>
            </w:pPr>
            <w:r>
              <w:rPr/>
              <w:t>The Directors may, if they think fit, receive from any Member willing to advance the same all or any part of the moneys uncalled and unpaid upon any shares held by him as may be agreed upon between the Member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37.</w:t>
            </w:r>
          </w:p>
        </w:tc>
        <w:tc>
          <w:tcPr>
            <w:tcW w:w="9888" w:type="dxa"/>
            <w:tcBorders/>
            <w:vAlign w:val="center"/>
          </w:tcPr>
          <w:p>
            <w:pPr>
              <w:pStyle w:val="TableContents"/>
              <w:bidi w:val="0"/>
              <w:spacing w:before="0" w:after="283"/>
              <w:jc w:val="both"/>
              <w:rPr/>
            </w:pPr>
            <w:r>
              <w:rPr/>
              <w:t>If a Member fails to pay any call or instalment of a call on the day appointed for payment thereof, the Directors may, at any time thereafter during such time as any part of such call or instalment remains unpaid, serve a notice on him requiring payment of such much of the call or instalment as is unpaid.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38.</w:t>
            </w:r>
          </w:p>
        </w:tc>
        <w:tc>
          <w:tcPr>
            <w:tcW w:w="9891" w:type="dxa"/>
            <w:tcBorders/>
            <w:vAlign w:val="center"/>
          </w:tcPr>
          <w:p>
            <w:pPr>
              <w:pStyle w:val="TableContents"/>
              <w:bidi w:val="0"/>
              <w:spacing w:before="0" w:after="283"/>
              <w:jc w:val="both"/>
              <w:rPr/>
            </w:pPr>
            <w:r>
              <w:rPr/>
              <w:t>The notice shall name a further day (not earlier than the expiration of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39.</w:t>
            </w:r>
          </w:p>
        </w:tc>
        <w:tc>
          <w:tcPr>
            <w:tcW w:w="9886" w:type="dxa"/>
            <w:tcBorders/>
            <w:vAlign w:val="center"/>
          </w:tcPr>
          <w:p>
            <w:pPr>
              <w:pStyle w:val="TableContents"/>
              <w:bidi w:val="0"/>
              <w:spacing w:before="0" w:after="283"/>
              <w:jc w:val="both"/>
              <w:rPr/>
            </w:pPr>
            <w:r>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40.</w:t>
            </w:r>
          </w:p>
        </w:tc>
        <w:tc>
          <w:tcPr>
            <w:tcW w:w="9882" w:type="dxa"/>
            <w:tcBorders/>
            <w:vAlign w:val="center"/>
          </w:tcPr>
          <w:p>
            <w:pPr>
              <w:pStyle w:val="TableContents"/>
              <w:bidi w:val="0"/>
              <w:spacing w:before="0" w:after="283"/>
              <w:jc w:val="both"/>
              <w:rPr/>
            </w:pPr>
            <w:r>
              <w:rPr/>
              <w:t>A forfeited share may be sold or otherwise disposed of on such terms and in such manner as the Directors think fit, and at any time before a sale or disposition the forfeiture may be cancelled on such terms as the Directors think 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41.</w:t>
            </w:r>
          </w:p>
        </w:tc>
        <w:tc>
          <w:tcPr>
            <w:tcW w:w="9893" w:type="dxa"/>
            <w:tcBorders/>
            <w:vAlign w:val="center"/>
          </w:tcPr>
          <w:p>
            <w:pPr>
              <w:pStyle w:val="TableContents"/>
              <w:bidi w:val="0"/>
              <w:spacing w:before="0" w:after="283"/>
              <w:jc w:val="both"/>
              <w:rPr/>
            </w:pPr>
            <w:r>
              <w:rPr/>
              <w:t>A person whose shares have been forfeited shall cease to be a Member in respect of the forfeited shares, but shall, notwithstanding, remain liable to pay to the Company all monies which at the date of forfeiture were payable by him to the Company in respect of the shares, but his liability shall cease if and when the Company receives payment in full of the fully paid up amount of the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42.</w:t>
            </w:r>
          </w:p>
        </w:tc>
        <w:tc>
          <w:tcPr>
            <w:tcW w:w="9900" w:type="dxa"/>
            <w:tcBorders/>
            <w:vAlign w:val="center"/>
          </w:tcPr>
          <w:p>
            <w:pPr>
              <w:pStyle w:val="TableContents"/>
              <w:bidi w:val="0"/>
              <w:spacing w:before="0" w:after="283"/>
              <w:jc w:val="both"/>
              <w:rPr/>
            </w:pPr>
            <w:r>
              <w:rPr/>
              <w:t>A certificate in writing under the hand of a Director of the Company, which certifies that a share has been forfeited on a date stated in the certificate, shall be conclusive evidence of the facts therein stated as against all persons claiming to be entitled to the share. The Company may receive the consideration, if any, given for the share or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43.</w:t>
            </w:r>
          </w:p>
        </w:tc>
        <w:tc>
          <w:tcPr>
            <w:tcW w:w="9889" w:type="dxa"/>
            <w:tcBorders/>
            <w:vAlign w:val="center"/>
          </w:tcPr>
          <w:p>
            <w:pPr>
              <w:pStyle w:val="TableContents"/>
              <w:bidi w:val="0"/>
              <w:spacing w:before="0" w:after="283"/>
              <w:jc w:val="both"/>
              <w:rPr/>
            </w:pPr>
            <w:r>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44.</w:t>
            </w:r>
          </w:p>
        </w:tc>
        <w:tc>
          <w:tcPr>
            <w:tcW w:w="9893" w:type="dxa"/>
            <w:tcBorders/>
            <w:vAlign w:val="center"/>
          </w:tcPr>
          <w:p>
            <w:pPr>
              <w:pStyle w:val="TableContents"/>
              <w:bidi w:val="0"/>
              <w:spacing w:before="0" w:after="283"/>
              <w:jc w:val="both"/>
              <w:rPr/>
            </w:pPr>
            <w:r>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45.</w:t>
            </w:r>
          </w:p>
        </w:tc>
        <w:tc>
          <w:tcPr>
            <w:tcW w:w="9898" w:type="dxa"/>
            <w:tcBorders/>
            <w:vAlign w:val="center"/>
          </w:tcPr>
          <w:p>
            <w:pPr>
              <w:pStyle w:val="TableContents"/>
              <w:bidi w:val="0"/>
              <w:spacing w:before="0" w:after="283"/>
              <w:jc w:val="both"/>
              <w:rPr/>
            </w:pPr>
            <w:r>
              <w:rPr/>
              <w:t>Any person becoming entitled to a share in consequence of the death or bankruptcy of a Member shall upon such evidence being produced as may from time to time be properly required by the Directors, have the right either to be registered as a Member in respect of the share or, instead of being registered himself, to make such transfer of the share as the deceased or bankrupt person could have made. If the person so becoming entitled shall elect to be registered himself as holder he shall deliver or send to the Company a notice in writing signed by him stating that he so elects.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46.</w:t>
            </w:r>
          </w:p>
        </w:tc>
        <w:tc>
          <w:tcPr>
            <w:tcW w:w="9901" w:type="dxa"/>
            <w:tcBorders/>
            <w:vAlign w:val="center"/>
          </w:tcPr>
          <w:p>
            <w:pPr>
              <w:pStyle w:val="TableContents"/>
              <w:bidi w:val="0"/>
              <w:spacing w:before="0" w:after="283"/>
              <w:jc w:val="both"/>
              <w:rPr/>
            </w:pPr>
            <w:r>
              <w:rPr/>
              <w:t>A person becoming entitled to a share by reason of the death or bankruptcy or winding-up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90 calendar days, the Directors may thereafter withhold payment of all dividends, bonuses or other monies payable in respect of the share until the requirements of the notice have been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4"/>
        <w:gridCol w:w="9853"/>
      </w:tblGrid>
      <w:tr>
        <w:trPr/>
        <w:tc>
          <w:tcPr>
            <w:tcW w:w="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47.</w:t>
            </w:r>
          </w:p>
        </w:tc>
        <w:tc>
          <w:tcPr>
            <w:tcW w:w="9853" w:type="dxa"/>
            <w:tcBorders/>
            <w:vAlign w:val="center"/>
          </w:tcPr>
          <w:p>
            <w:pPr>
              <w:pStyle w:val="TableContents"/>
              <w:bidi w:val="0"/>
              <w:spacing w:before="0" w:after="283"/>
              <w:jc w:val="both"/>
              <w:rPr/>
            </w:pPr>
            <w:r>
              <w:rPr/>
              <w:t>Subject to Article 9(d), the Company may by Ordinary Resolution or by the resolution of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925" w:type="dxa"/>
            <w:tcBorders/>
            <w:vAlign w:val="center"/>
          </w:tcPr>
          <w:p>
            <w:pPr>
              <w:pStyle w:val="TableContents"/>
              <w:bidi w:val="0"/>
              <w:spacing w:before="0" w:after="283"/>
              <w:jc w:val="both"/>
              <w:rPr/>
            </w:pPr>
            <w:r>
              <w:rPr/>
              <w:t>increase its share capital by such sum, to be divided into shares of such classes and amount, as Ordinary Resolution or by the resolution of the Board of Directors shall prescribe;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(b)</w:t>
            </w:r>
          </w:p>
        </w:tc>
        <w:tc>
          <w:tcPr>
            <w:tcW w:w="9878" w:type="dxa"/>
            <w:tcBorders/>
            <w:vAlign w:val="center"/>
          </w:tcPr>
          <w:p>
            <w:pPr>
              <w:pStyle w:val="TableContents"/>
              <w:bidi w:val="0"/>
              <w:spacing w:before="0" w:after="283"/>
              <w:jc w:val="both"/>
              <w:rPr/>
            </w:pPr>
            <w:r>
              <w:rPr/>
              <w:t>consolidate and divide all or any of its share capital into shares of larger par value than its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283"/>
              <w:jc w:val="both"/>
              <w:rPr/>
            </w:pPr>
            <w:r>
              <w:rPr/>
              <w:t>sub-divide its existing shares or any of them into shares of a smaller par value than is fixed by the Company’s Memorandum of Association (subject, nevertheless, to the Act) provided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(d)</w:t>
            </w:r>
          </w:p>
        </w:tc>
        <w:tc>
          <w:tcPr>
            <w:tcW w:w="9925" w:type="dxa"/>
            <w:tcBorders/>
            <w:vAlign w:val="center"/>
          </w:tcPr>
          <w:p>
            <w:pPr>
              <w:pStyle w:val="TableContents"/>
              <w:bidi w:val="0"/>
              <w:spacing w:before="0" w:after="283"/>
              <w:jc w:val="both"/>
              <w:rPr/>
            </w:pPr>
            <w:r>
              <w:rPr/>
              <w:t>cancel any shares which, at the date of the passing of the Ordinary Resolution or the resolution of the Board of Directors, have not been taken or agreed to be taken by any person and diminish the amount of its share capital by the amount of the shares so cancelled.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48.</w:t>
            </w:r>
          </w:p>
        </w:tc>
        <w:tc>
          <w:tcPr>
            <w:tcW w:w="9888" w:type="dxa"/>
            <w:tcBorders/>
            <w:vAlign w:val="center"/>
          </w:tcPr>
          <w:p>
            <w:pPr>
              <w:pStyle w:val="TableContents"/>
              <w:bidi w:val="0"/>
              <w:spacing w:before="0" w:after="283"/>
              <w:jc w:val="both"/>
              <w:rPr/>
            </w:pPr>
            <w:r>
              <w:rPr/>
              <w:t>Subject to the provisions of the Statutes and these Articles as regards to the matters to be dealt with by Ordinary Resolution or the resolution of the Board of Directors, the Company may by Special Resolution reduce its share capital and any capital redemption reserve in any manner authorised by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49.</w:t>
            </w:r>
          </w:p>
        </w:tc>
        <w:tc>
          <w:tcPr>
            <w:tcW w:w="9879" w:type="dxa"/>
            <w:tcBorders/>
            <w:vAlign w:val="center"/>
          </w:tcPr>
          <w:p>
            <w:pPr>
              <w:pStyle w:val="TableContents"/>
              <w:bidi w:val="0"/>
              <w:spacing w:before="0" w:after="283"/>
              <w:jc w:val="both"/>
              <w:rPr/>
            </w:pPr>
            <w:r>
              <w:rPr/>
              <w:t>All new shares created hereunder shall be subject to the same provisions with reference to the payment of calls, liens, transfer, transmission, forfeiture and otherwise as the shares in the original share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REGISTER OF MEMBERS AND FIXING RECORD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50.</w:t>
            </w:r>
          </w:p>
        </w:tc>
        <w:tc>
          <w:tcPr>
            <w:tcW w:w="9901" w:type="dxa"/>
            <w:tcBorders/>
            <w:vAlign w:val="center"/>
          </w:tcPr>
          <w:p>
            <w:pPr>
              <w:pStyle w:val="TableContents"/>
              <w:bidi w:val="0"/>
              <w:spacing w:before="0" w:after="283"/>
              <w:jc w:val="both"/>
              <w:rPr/>
            </w:pPr>
            <w:r>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of Members shall be closed for transfers for a stated period but not to exceed in any case 30 calendar days. If the Register of Members shall be so closed for the purpose of determining those Members that are entitled to receive notice of, attend or vote at a meeting of Members such register shall be so closed for at least 10 calendar days immediately preceding such meeting and the record date for such determination shall be the date of the closure of the Register of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51.</w:t>
            </w:r>
          </w:p>
        </w:tc>
        <w:tc>
          <w:tcPr>
            <w:tcW w:w="9896" w:type="dxa"/>
            <w:tcBorders/>
            <w:vAlign w:val="center"/>
          </w:tcPr>
          <w:p>
            <w:pPr>
              <w:pStyle w:val="TableContents"/>
              <w:bidi w:val="0"/>
              <w:spacing w:before="0" w:after="283"/>
              <w:jc w:val="both"/>
              <w:rPr/>
            </w:pPr>
            <w:r>
              <w:rPr/>
              <w:t>In lieu of or apart from closing the Register of Members, 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30 calendar days prior to the date of declaration of such dividend fix a subsequent date as the record date of such determination.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52.</w:t>
            </w:r>
          </w:p>
        </w:tc>
        <w:tc>
          <w:tcPr>
            <w:tcW w:w="9899" w:type="dxa"/>
            <w:tcBorders/>
            <w:vAlign w:val="center"/>
          </w:tcPr>
          <w:p>
            <w:pPr>
              <w:pStyle w:val="TableContents"/>
              <w:bidi w:val="0"/>
              <w:spacing w:before="0" w:after="283"/>
              <w:jc w:val="both"/>
              <w:rPr/>
            </w:pPr>
            <w:r>
              <w:rPr/>
              <w:t>If the Register of Members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Article, such determination shall apply to any adjournment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53.</w:t>
            </w:r>
          </w:p>
        </w:tc>
        <w:tc>
          <w:tcPr>
            <w:tcW w:w="9856" w:type="dxa"/>
            <w:tcBorders/>
            <w:vAlign w:val="center"/>
          </w:tcPr>
          <w:p>
            <w:pPr>
              <w:pStyle w:val="TableContents"/>
              <w:bidi w:val="0"/>
              <w:spacing w:before="0" w:after="283"/>
              <w:jc w:val="both"/>
              <w:rPr/>
            </w:pPr>
            <w:r>
              <w:rPr/>
              <w:t>All general meetings of the Company other than annual general meetings shall be called extraordinary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54.</w:t>
            </w:r>
          </w:p>
        </w:tc>
        <w:tc>
          <w:tcPr>
            <w:tcW w:w="9879" w:type="dxa"/>
            <w:tcBorders/>
            <w:vAlign w:val="center"/>
          </w:tcPr>
          <w:p>
            <w:pPr>
              <w:pStyle w:val="TableContents"/>
              <w:bidi w:val="0"/>
              <w:spacing w:before="0" w:after="283"/>
              <w:jc w:val="both"/>
              <w:rPr/>
            </w:pPr>
            <w:r>
              <w:rPr/>
              <w:t>The Company may hold an annual general meeting and shall specify the meeting as such in the notices calling it. The annual general meeting shall be held at such time and place as the Directors shall determine.</w:t>
            </w:r>
          </w:p>
        </w:tc>
      </w:tr>
    </w:tbl>
    <w:p>
      <w:pPr>
        <w:pStyle w:val="TextBody"/>
        <w:bidi w:val="0"/>
        <w:spacing w:before="0" w:after="0"/>
        <w:ind w:left="0" w:right="0" w:hanging="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275"/>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755" w:type="dxa"/>
            <w:tcBorders/>
            <w:vAlign w:val="center"/>
          </w:tcPr>
          <w:p>
            <w:pPr>
              <w:pStyle w:val="TableContents"/>
              <w:bidi w:val="0"/>
              <w:spacing w:before="0" w:after="283"/>
              <w:jc w:val="both"/>
              <w:rPr/>
            </w:pPr>
            <w:r>
              <w:rPr/>
              <w:t>At these meetings the report of the Directors (if any) shall be presented.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(b)</w:t>
            </w:r>
          </w:p>
        </w:tc>
        <w:tc>
          <w:tcPr>
            <w:tcW w:w="9888" w:type="dxa"/>
            <w:tcBorders/>
            <w:vAlign w:val="center"/>
          </w:tcPr>
          <w:p>
            <w:pPr>
              <w:pStyle w:val="TableContents"/>
              <w:bidi w:val="0"/>
              <w:spacing w:before="0" w:after="283"/>
              <w:jc w:val="both"/>
              <w:rPr/>
            </w:pPr>
            <w:r>
              <w:rPr/>
              <w:t>If the Company is exempted as defined in the Statute, it may but shall not be obliged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55.</w:t>
            </w:r>
          </w:p>
        </w:tc>
        <w:tc>
          <w:tcPr>
            <w:tcW w:w="9892" w:type="dxa"/>
            <w:tcBorders/>
            <w:vAlign w:val="center"/>
          </w:tcPr>
          <w:p>
            <w:pPr>
              <w:pStyle w:val="TableContents"/>
              <w:bidi w:val="0"/>
              <w:spacing w:before="0" w:after="283"/>
              <w:jc w:val="both"/>
              <w:rPr/>
            </w:pPr>
            <w:r>
              <w:rPr/>
              <w:t>Any Director may, and the Directors shall on the requisition of Members of the Company holding as at the date of the deposit of the requisition not less than one-fifth of such of the aggregate voting power of the Company as at the date of the deposit carries the right of voting at general meetings of the Company, proceed to convene a general meeting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The requisition must state the objects of the meeting and must be signed by the requisitionists and be deposited at the registered office of the Company and may consist of several documents in like form each signed by one or more requisitionists.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both"/>
              <w:rPr/>
            </w:pPr>
            <w:r>
              <w:rPr/>
              <w:t>If there are no Directors as at the date of deposit of the Members’ requisition or if the Directors do not within twenty-one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the said twenty-one (21)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(c)</w:t>
            </w:r>
          </w:p>
        </w:tc>
        <w:tc>
          <w:tcPr>
            <w:tcW w:w="9928" w:type="dxa"/>
            <w:tcBorders/>
            <w:vAlign w:val="center"/>
          </w:tcPr>
          <w:p>
            <w:pPr>
              <w:pStyle w:val="TableContents"/>
              <w:bidi w:val="0"/>
              <w:spacing w:before="0" w:after="283"/>
              <w:jc w:val="both"/>
              <w:rPr/>
            </w:pPr>
            <w:r>
              <w:rPr/>
              <w:t>A general meeting convened as aforesaid by requisitionists shall be convened in the same manner as nearly as possible as that in which general meetings are to be convened by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(d)</w:t>
            </w:r>
          </w:p>
        </w:tc>
        <w:tc>
          <w:tcPr>
            <w:tcW w:w="9900" w:type="dxa"/>
            <w:tcBorders/>
            <w:vAlign w:val="center"/>
          </w:tcPr>
          <w:p>
            <w:pPr>
              <w:pStyle w:val="TableContents"/>
              <w:bidi w:val="0"/>
              <w:spacing w:before="0" w:after="283"/>
              <w:jc w:val="both"/>
              <w:rPr/>
            </w:pPr>
            <w:r>
              <w:rPr/>
              <w:t>Any resolutions passed on the extraordinary general meetings convened pursuant to sub-Article (a) above should be by Special Resolutions.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GENERAL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56.</w:t>
            </w:r>
          </w:p>
        </w:tc>
        <w:tc>
          <w:tcPr>
            <w:tcW w:w="9899" w:type="dxa"/>
            <w:tcBorders/>
            <w:vAlign w:val="center"/>
          </w:tcPr>
          <w:p>
            <w:pPr>
              <w:pStyle w:val="TableContents"/>
              <w:bidi w:val="0"/>
              <w:spacing w:before="0" w:after="283"/>
              <w:jc w:val="both"/>
              <w:rPr/>
            </w:pPr>
            <w:r>
              <w:rPr/>
              <w:t>At least seven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in the case of an annual general meeting by all the Members (or their proxies) entitled to attend and vote thereat;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pPr>
            <w:r>
              <w:rPr/>
              <w:t>in the case of an extraordinary general meeting by a majority in number of the Members (or their proxies) having a right to attend and vote at the meeting, being a majority together holding not less than ninety five percent in par value of the shares giving that right.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56A.</w:t>
            </w:r>
          </w:p>
        </w:tc>
        <w:tc>
          <w:tcPr>
            <w:tcW w:w="9667" w:type="dxa"/>
            <w:tcBorders/>
            <w:vAlign w:val="center"/>
          </w:tcPr>
          <w:p>
            <w:pPr>
              <w:pStyle w:val="TableContents"/>
              <w:bidi w:val="0"/>
              <w:spacing w:before="0" w:after="283"/>
              <w:jc w:val="left"/>
              <w:rPr/>
            </w:pPr>
            <w:r>
              <w:rPr/>
              <w:t>The accidental omission to give notice of a meeting to or the non-receipt of a notice of a meeting by any Member shall not invalidate the proceedings at any meeting.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GENERAL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57.</w:t>
            </w:r>
          </w:p>
        </w:tc>
        <w:tc>
          <w:tcPr>
            <w:tcW w:w="9894" w:type="dxa"/>
            <w:tcBorders/>
            <w:vAlign w:val="center"/>
          </w:tcPr>
          <w:p>
            <w:pPr>
              <w:pStyle w:val="TableContents"/>
              <w:bidi w:val="0"/>
              <w:spacing w:before="0" w:after="283"/>
              <w:jc w:val="both"/>
              <w:rPr/>
            </w:pPr>
            <w:r>
              <w:rPr/>
              <w:t>No business except for the appointment of a chairman for the meeting shall be transacted at any general meeting unless a quorum of Members is present at the time when the meeting proceeds to business. At least one Member, and not less than an aggregate of one-third of all voting power of the Company’s share capital in issue, shall be present in person or by proxy and entitled to vote shall be a quorum for all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58.</w:t>
            </w:r>
          </w:p>
        </w:tc>
        <w:tc>
          <w:tcPr>
            <w:tcW w:w="9894" w:type="dxa"/>
            <w:tcBorders/>
            <w:vAlign w:val="center"/>
          </w:tcPr>
          <w:p>
            <w:pPr>
              <w:pStyle w:val="TableContents"/>
              <w:bidi w:val="0"/>
              <w:spacing w:before="0" w:after="283"/>
              <w:jc w:val="both"/>
              <w:rPr/>
            </w:pPr>
            <w:r>
              <w:rPr/>
              <w:t>If determined by the Board of Directors and specified in the notice of a general meeting, a person may participate in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59.</w:t>
            </w:r>
          </w:p>
        </w:tc>
        <w:tc>
          <w:tcPr>
            <w:tcW w:w="9890" w:type="dxa"/>
            <w:tcBorders/>
            <w:vAlign w:val="center"/>
          </w:tcPr>
          <w:p>
            <w:pPr>
              <w:pStyle w:val="TableContents"/>
              <w:bidi w:val="0"/>
              <w:spacing w:before="0" w:after="283"/>
              <w:jc w:val="both"/>
              <w:rPr/>
            </w:pPr>
            <w:r>
              <w:rPr/>
              <w:t>If within half an hour from the time appointed for the meeting a quorum is not present, the meeting shall stand adjourned to the same day in the next week, at the same time and place, and if at the adjourned meeting a quorum is not present within half an hour from the time appointed for the meeting, the meeting shall be dissolved.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60.</w:t>
            </w:r>
          </w:p>
        </w:tc>
        <w:tc>
          <w:tcPr>
            <w:tcW w:w="9857" w:type="dxa"/>
            <w:tcBorders/>
            <w:vAlign w:val="center"/>
          </w:tcPr>
          <w:p>
            <w:pPr>
              <w:pStyle w:val="TableContents"/>
              <w:bidi w:val="0"/>
              <w:spacing w:before="0" w:after="283"/>
              <w:jc w:val="both"/>
              <w:rPr/>
            </w:pPr>
            <w:r>
              <w:rPr/>
              <w:t>The Chairman shall preside as chairman at every general meeting of the Company, except as provided in Article 61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61.</w:t>
            </w:r>
          </w:p>
        </w:tc>
        <w:tc>
          <w:tcPr>
            <w:tcW w:w="9893" w:type="dxa"/>
            <w:tcBorders/>
            <w:vAlign w:val="center"/>
          </w:tcPr>
          <w:p>
            <w:pPr>
              <w:pStyle w:val="TableContents"/>
              <w:bidi w:val="0"/>
              <w:spacing w:before="0" w:after="283"/>
              <w:jc w:val="both"/>
              <w:rPr/>
            </w:pPr>
            <w:r>
              <w:rPr/>
              <w:t>If there is no such Chairman, or if at any meeting the Chairman is not present within fifteen minutes after the time appointed for holding the meeting or is unwilling to act as chairman, the Directors present shall elect one of their members to be the chairman of the meeting, or, if no Director is so elected and willing to be the chairman of the meeting, the Members present shall choose a chairman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62.</w:t>
            </w:r>
          </w:p>
        </w:tc>
        <w:tc>
          <w:tcPr>
            <w:tcW w:w="9899" w:type="dxa"/>
            <w:tcBorders/>
            <w:vAlign w:val="center"/>
          </w:tcPr>
          <w:p>
            <w:pPr>
              <w:pStyle w:val="TableContents"/>
              <w:bidi w:val="0"/>
              <w:spacing w:before="0" w:after="283"/>
              <w:jc w:val="both"/>
              <w:rPr/>
            </w:pPr>
            <w:r>
              <w:rPr/>
              <w:t>The chairman of a general meeting may with the consent of any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10 calendar days or more, not less than 7 Business Days’ notice of the adjourned meeting shall be given as in the case of an original meeting. Save as aforesaid it shall not be necessary to give any notice of an adjournment or of the business to be transacted at an adjourned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63.</w:t>
            </w:r>
          </w:p>
        </w:tc>
        <w:tc>
          <w:tcPr>
            <w:tcW w:w="9901" w:type="dxa"/>
            <w:tcBorders/>
            <w:vAlign w:val="center"/>
          </w:tcPr>
          <w:p>
            <w:pPr>
              <w:pStyle w:val="TableContents"/>
              <w:bidi w:val="0"/>
              <w:spacing w:before="0" w:after="283"/>
              <w:jc w:val="both"/>
              <w:rPr/>
            </w:pPr>
            <w:r>
              <w:rPr/>
              <w:t>Subject to Article 9(d), at any general meeting a resolution put to the vote of the meeting shall be decided on a show of hands, unless a poll is (before or on the declaration of the result of the show of hands) demanded by one or more Members present in person or by proxy entitled to vote and who together hold not less than one tenth of the paid up voting share capital of the Company or by the chairman of the meeting,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64.</w:t>
            </w:r>
          </w:p>
        </w:tc>
        <w:tc>
          <w:tcPr>
            <w:tcW w:w="9883" w:type="dxa"/>
            <w:tcBorders/>
            <w:vAlign w:val="center"/>
          </w:tcPr>
          <w:p>
            <w:pPr>
              <w:pStyle w:val="TableContents"/>
              <w:bidi w:val="0"/>
              <w:spacing w:before="0" w:after="283"/>
              <w:jc w:val="both"/>
              <w:rPr/>
            </w:pPr>
            <w:r>
              <w:rPr/>
              <w:t>If a poll is duly demanded it shall be taken in such manner as the chairman directs, and the result of the poll shall be deemed to be the resolution of the meeting at which the poll was demanded. The demand for a poll may be withdrawn.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65.</w:t>
            </w:r>
          </w:p>
        </w:tc>
        <w:tc>
          <w:tcPr>
            <w:tcW w:w="9881" w:type="dxa"/>
            <w:tcBorders/>
            <w:vAlign w:val="center"/>
          </w:tcPr>
          <w:p>
            <w:pPr>
              <w:pStyle w:val="TableContents"/>
              <w:bidi w:val="0"/>
              <w:spacing w:before="0" w:after="283"/>
              <w:jc w:val="both"/>
              <w:rPr/>
            </w:pPr>
            <w:r>
              <w:rPr/>
              <w:t>In the case of an equality of votes, whether on a show of hands or on a poll, the chairman of the meeting at which the show of hands takes place or at which the poll is demanded, shall be entitled to a second or casting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66.</w:t>
            </w:r>
          </w:p>
        </w:tc>
        <w:tc>
          <w:tcPr>
            <w:tcW w:w="9880" w:type="dxa"/>
            <w:tcBorders/>
            <w:vAlign w:val="center"/>
          </w:tcPr>
          <w:p>
            <w:pPr>
              <w:pStyle w:val="TableContents"/>
              <w:bidi w:val="0"/>
              <w:spacing w:before="0" w:after="283"/>
              <w:jc w:val="both"/>
              <w:rPr/>
            </w:pPr>
            <w:r>
              <w:rPr/>
              <w:t>A poll demanded on the election of a chairman or on a question of adjournment shall be taken forthwith. A poll demanded on any other question shall be taken at such time as the chairman of the meeting directs.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66A.</w:t>
            </w:r>
          </w:p>
        </w:tc>
        <w:tc>
          <w:tcPr>
            <w:tcW w:w="9667" w:type="dxa"/>
            <w:tcBorders/>
            <w:vAlign w:val="center"/>
          </w:tcPr>
          <w:p>
            <w:pPr>
              <w:pStyle w:val="TableContents"/>
              <w:bidi w:val="0"/>
              <w:spacing w:before="0" w:after="283"/>
              <w:jc w:val="both"/>
              <w:rPr/>
            </w:pPr>
            <w:r>
              <w:rPr/>
              <w:t>A resolution (including a Special Resolution) in writing (in one or more counterparts) signed by or on behalf of all of the Members for the time being entitled to receive notice of and to attend and vote at general meetings (or, in the case of corporations or other non-natural persons, signed by their duly authorised representatives) shall be as valid and effective as if the resolution had been passed at a general meeting of the Company duly convened and held.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OF MEMBERS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67.</w:t>
            </w:r>
          </w:p>
        </w:tc>
        <w:tc>
          <w:tcPr>
            <w:tcW w:w="9887" w:type="dxa"/>
            <w:tcBorders/>
            <w:vAlign w:val="center"/>
          </w:tcPr>
          <w:p>
            <w:pPr>
              <w:pStyle w:val="TableContents"/>
              <w:bidi w:val="0"/>
              <w:spacing w:before="0" w:after="283"/>
              <w:jc w:val="both"/>
              <w:rPr/>
            </w:pPr>
            <w:r>
              <w:rPr/>
              <w:t>In the case of joint holders the vote of the senior who tenders a vote whether in person or by proxy shall be accepted to the exclusion of the votes of the joint holders and for this purpose seniority shall be determined by the order in which the names stand in the Register of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68.</w:t>
            </w:r>
          </w:p>
        </w:tc>
        <w:tc>
          <w:tcPr>
            <w:tcW w:w="9890" w:type="dxa"/>
            <w:tcBorders/>
            <w:vAlign w:val="center"/>
          </w:tcPr>
          <w:p>
            <w:pPr>
              <w:pStyle w:val="TableContents"/>
              <w:bidi w:val="0"/>
              <w:spacing w:before="0" w:after="283"/>
              <w:jc w:val="both"/>
              <w:rPr/>
            </w:pPr>
            <w:r>
              <w:rPr/>
              <w:t>A Member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on a poll, vote by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69.</w:t>
            </w:r>
          </w:p>
        </w:tc>
        <w:tc>
          <w:tcPr>
            <w:tcW w:w="9871" w:type="dxa"/>
            <w:tcBorders/>
            <w:vAlign w:val="center"/>
          </w:tcPr>
          <w:p>
            <w:pPr>
              <w:pStyle w:val="TableContents"/>
              <w:bidi w:val="0"/>
              <w:spacing w:before="0" w:after="283"/>
              <w:jc w:val="both"/>
              <w:rPr/>
            </w:pPr>
            <w:r>
              <w:rPr/>
              <w:t>No Member shall be entitled to vote at any general meeting unless all calls or other sums presently payable by him in respect of shares in the Company have been paid.</w:t>
            </w:r>
          </w:p>
        </w:tc>
      </w:tr>
    </w:tbl>
    <w:p>
      <w:pPr>
        <w:pStyle w:val="TextBody"/>
        <w:bidi w:val="0"/>
        <w:spacing w:before="0" w:after="0"/>
        <w:ind w:left="0" w:right="0" w:hanging="0"/>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32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70.</w:t>
            </w:r>
          </w:p>
        </w:tc>
        <w:tc>
          <w:tcPr>
            <w:tcW w:w="5720" w:type="dxa"/>
            <w:tcBorders/>
            <w:vAlign w:val="center"/>
          </w:tcPr>
          <w:p>
            <w:pPr>
              <w:pStyle w:val="TableContents"/>
              <w:bidi w:val="0"/>
              <w:spacing w:before="0" w:after="283"/>
              <w:jc w:val="both"/>
              <w:rPr/>
            </w:pPr>
            <w:r>
              <w:rPr/>
              <w:t>On a poll, votes may be given either personally or by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71.</w:t>
            </w:r>
          </w:p>
        </w:tc>
        <w:tc>
          <w:tcPr>
            <w:tcW w:w="9888" w:type="dxa"/>
            <w:tcBorders/>
            <w:vAlign w:val="center"/>
          </w:tcPr>
          <w:p>
            <w:pPr>
              <w:pStyle w:val="TableContents"/>
              <w:bidi w:val="0"/>
              <w:spacing w:before="0" w:after="283"/>
              <w:jc w:val="both"/>
              <w:rPr/>
            </w:pPr>
            <w:r>
              <w:rPr/>
              <w:t>The instrument appointing a proxy shall be in writing under the hand of the appointor or of his attorney duly authorised in writing or, if the appointor is a corporation, either under seal or under the hand of an officer or attorney duly authorised. A proxy need not be a Member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72.</w:t>
            </w:r>
          </w:p>
        </w:tc>
        <w:tc>
          <w:tcPr>
            <w:tcW w:w="9882" w:type="dxa"/>
            <w:tcBorders/>
            <w:vAlign w:val="center"/>
          </w:tcPr>
          <w:p>
            <w:pPr>
              <w:pStyle w:val="TableContents"/>
              <w:bidi w:val="0"/>
              <w:spacing w:before="0" w:after="283"/>
              <w:jc w:val="both"/>
              <w:rPr/>
            </w:pPr>
            <w:r>
              <w:rPr/>
              <w:t>An instrument appointing a proxy may be in any usual or common form or such other form as the Directors may approve. The instrument appointing a proxy shall be deemed to confer authority to demand or join in demanding a poll.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73.</w:t>
            </w:r>
          </w:p>
        </w:tc>
        <w:tc>
          <w:tcPr>
            <w:tcW w:w="9881" w:type="dxa"/>
            <w:tcBorders/>
            <w:vAlign w:val="center"/>
          </w:tcPr>
          <w:p>
            <w:pPr>
              <w:pStyle w:val="TableContents"/>
              <w:bidi w:val="0"/>
              <w:spacing w:before="0" w:after="283"/>
              <w:jc w:val="both"/>
              <w:rPr/>
            </w:pPr>
            <w:r>
              <w:rPr/>
              <w:t>The instrument appointing a proxy shall be deposited at the registered office or at such other place as is specified for that purpose in the notice convening the meeting, or in any instrument of proxy sent out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both"/>
              <w:rPr/>
            </w:pPr>
            <w:r>
              <w:rPr/>
              <w:t>not less than 48 hours before the time for holding the meeting or adjourned meeting at which the person named in the instrument proposes to vote;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in the case of a poll taken more than 48 hours after it is demanded, be deposited as aforesaid after the poll has been demanded and not less than 24 hours before the time appointed for the taking of the poll;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both"/>
              <w:rPr/>
            </w:pPr>
            <w:r>
              <w:rPr/>
              <w:t>where the poll is not taken forthwith but is taken not more than 48 hours after it was demanded be delivered at the meeting at which the poll was demanded to the chairman or to the secretary or to any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Directors may in the notice convening the meeting, or in an instrument of proxy sent out by the Company, direct that the instrument appointing a proxy may be deposited (no later than 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74.</w:t>
            </w:r>
          </w:p>
        </w:tc>
        <w:tc>
          <w:tcPr>
            <w:tcW w:w="9897" w:type="dxa"/>
            <w:tcBorders/>
            <w:vAlign w:val="center"/>
          </w:tcPr>
          <w:p>
            <w:pPr>
              <w:pStyle w:val="TableContents"/>
              <w:bidi w:val="0"/>
              <w:spacing w:before="0" w:after="283"/>
              <w:jc w:val="both"/>
              <w:rPr/>
            </w:pPr>
            <w:r>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before the commencement of the general meeting, or adjourned meeting at which it is sought to use the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CORPORATIONS ACTING BY REPRESENTATIVES AT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75.</w:t>
            </w:r>
          </w:p>
        </w:tc>
        <w:tc>
          <w:tcPr>
            <w:tcW w:w="9894" w:type="dxa"/>
            <w:tcBorders/>
            <w:vAlign w:val="center"/>
          </w:tcPr>
          <w:p>
            <w:pPr>
              <w:pStyle w:val="TableContents"/>
              <w:bidi w:val="0"/>
              <w:spacing w:before="0" w:after="283"/>
              <w:jc w:val="both"/>
              <w:rPr/>
            </w:pPr>
            <w:r>
              <w:rPr/>
              <w:t>Any corporation which is a Member or a Director may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that corporation could exercise if it were an individual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CLEARING HOUSES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76.</w:t>
            </w:r>
          </w:p>
        </w:tc>
        <w:tc>
          <w:tcPr>
            <w:tcW w:w="9902" w:type="dxa"/>
            <w:tcBorders/>
            <w:vAlign w:val="center"/>
          </w:tcPr>
          <w:p>
            <w:pPr>
              <w:pStyle w:val="TableContents"/>
              <w:bidi w:val="0"/>
              <w:spacing w:before="0" w:after="283"/>
              <w:jc w:val="both"/>
              <w:rPr/>
            </w:pPr>
            <w:r>
              <w:rPr/>
              <w:t>If a clearing house (or its nominee) is a Member of the Company it may, by resolution of its directors or other governing body or by power of attorney, authorise such person or persons as it thinks fit to act as its representative or representatives at any general meeting of the Company or at any general meeting of any class of Members of the Company provided that, if more than one person is so authorised, the authorisation shall specify the number and class of shares in respect of which each such person is so authorised. A person so authorised pursuant to this provision shall be entitled to exercise the same powers on behalf of the clearing house (or its nominee) which he represents as that clearing house (or its nominee) could exercise if it were an individual Member of the Company holding the number and class of shares specified in such authorisation, including the right to vote individually on a show of hands.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77.</w:t>
            </w:r>
          </w:p>
        </w:tc>
        <w:tc>
          <w:tcPr>
            <w:tcW w:w="9898" w:type="dxa"/>
            <w:tcBorders/>
            <w:vAlign w:val="center"/>
          </w:tcPr>
          <w:p>
            <w:pPr>
              <w:pStyle w:val="TableContents"/>
              <w:bidi w:val="0"/>
              <w:spacing w:before="0" w:after="283"/>
              <w:jc w:val="both"/>
              <w:rPr/>
            </w:pPr>
            <w:r>
              <w:rPr/>
              <w:t>The Board shall consist of not less than three (3) Directors and no more than nine (9) Directors (exclusive of alternate Directors), provided that (subject to these Articles) the Company may from time to time by Special Resolution increase or decrease the number of Directors on the Board. For so long as the Shares are listed on the Designated Stock Exchange, the Directors shall include such number of independent directors as applicable law, rules or regulations or the Designated Stock Exchange Rules require, unless the Board resolves to follow any available exceptions or exemptions.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Each Director shall hold office until the expiration of his term and until his successor shall have been elected and qualified. The Board of Directors shall have a Chairman elected and appointed by a majority of the Directors then in office. The Directors may also elect a Co- Chairman or a Vice-Chairman of the Board of Directors (the “</w:t>
            </w:r>
            <w:r>
              <w:rPr>
                <w:b/>
              </w:rPr>
              <w:t>Co-Chairman</w:t>
            </w:r>
            <w:r>
              <w:rPr/>
              <w:t>”). The Chairman shall preside as chairman at every meeting of the Board of Directors. To the extent the Chairman is not present at a meeting of the Board of Directors within sixty minutes after the time appointed for holding the same, the Co-Chairman, or in his absence, the attending Directors may choose one Director to be the chairman of the meeting. Other than as provided in Article 102, the Chairman’s voting right as to the matters to be decided by the Board of Directors shall be the same as other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both"/>
              <w:rPr/>
            </w:pPr>
            <w:r>
              <w:rPr/>
              <w:t>Subject to these Articles and the Companies Act, the Company may by Ordinary Resolution elect any person to be a Director either to fill a casual vacancy on the Board or as an addition to the existing Board. The Directors by the affirmative vote of a simple majority of the remaining Directors present and voting at a Board meeting, or the sole remaining Director, shall have the power from time to time and at any time to appoint any person as a Director to fill a casual vacancy on the Board or as an addition to the existing Board, subject to the Company’s compliance with the director nomination procedures required under the applicable corporate governance rules of the Designated Stock Exchange’ as long as the Company’s Ordinary Shares are trading on the Designated Stock Exchange. A Director may be removed from office by Special Resolution at any time before the expiration of his term notwithstanding any agreement between the Company and such Director (but without prejudice to any claim for damages under such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Mr. Mingjun Lin and Ms. Yi Yang each have the right to appoint or remove one (1) or more Directors by delivering a written notice to the Company, respectively. Notwithstanding the foregoing statement, neither Mr. Mingjun Lin nor Ms. Yi Yang has the right to remove the other from the Director position.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78.</w:t>
            </w:r>
          </w:p>
        </w:tc>
        <w:tc>
          <w:tcPr>
            <w:tcW w:w="9893" w:type="dxa"/>
            <w:tcBorders/>
            <w:vAlign w:val="center"/>
          </w:tcPr>
          <w:p>
            <w:pPr>
              <w:pStyle w:val="TableContents"/>
              <w:bidi w:val="0"/>
              <w:spacing w:before="0" w:after="283"/>
              <w:jc w:val="both"/>
              <w:rPr/>
            </w:pPr>
            <w:r>
              <w:rPr/>
              <w:t>The Board may, from time to time, and except as required by applicable law or the listing rules of the Designated Stock Exchange,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79.</w:t>
            </w:r>
          </w:p>
        </w:tc>
        <w:tc>
          <w:tcPr>
            <w:tcW w:w="9888" w:type="dxa"/>
            <w:tcBorders/>
            <w:vAlign w:val="center"/>
          </w:tcPr>
          <w:p>
            <w:pPr>
              <w:pStyle w:val="TableContents"/>
              <w:bidi w:val="0"/>
              <w:spacing w:before="0" w:after="283"/>
              <w:jc w:val="both"/>
              <w:rPr/>
            </w:pPr>
            <w:r>
              <w:rPr/>
              <w:t>A Director shall not be required to hold any shares in the Company by way of qualification. A Director who is not a Member of the Company shall nevertheless be entitled to receive notice of and to attend and speak at general meetings of the Company and all classes of shares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FEES AND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80.</w:t>
            </w:r>
          </w:p>
        </w:tc>
        <w:tc>
          <w:tcPr>
            <w:tcW w:w="9899" w:type="dxa"/>
            <w:tcBorders/>
            <w:vAlign w:val="center"/>
          </w:tcPr>
          <w:p>
            <w:pPr>
              <w:pStyle w:val="TableContents"/>
              <w:bidi w:val="0"/>
              <w:spacing w:before="0" w:after="283"/>
              <w:jc w:val="both"/>
              <w:rPr/>
            </w:pPr>
            <w:r>
              <w:rPr/>
              <w:t>The Directors may receive such remuneration as the Board may from time to time determine. The Directors shall be entitled to be repaid all traveling, hotel and incidental expenses reasonably incurred or expected to be incurred by them in attending meetings of the Board or committees of the Board or general meetings or separate meetings of any class of shares or of debentures of the Company or otherwise in connection with the discharge of his duties as a Director, or to receive such fixed allowance in respect thereof as may be determined by the Directors from time to time, or a combination partly of one such method and partly the other.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81.</w:t>
            </w:r>
          </w:p>
        </w:tc>
        <w:tc>
          <w:tcPr>
            <w:tcW w:w="9903" w:type="dxa"/>
            <w:tcBorders/>
            <w:vAlign w:val="center"/>
          </w:tcPr>
          <w:p>
            <w:pPr>
              <w:pStyle w:val="TableContents"/>
              <w:bidi w:val="0"/>
              <w:spacing w:before="0" w:after="283"/>
              <w:jc w:val="both"/>
              <w:rPr/>
            </w:pPr>
            <w:r>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of the Company and shall not be deemed to be the agent of the Director appointing him. The remuneration of such alternate shall be payable out of the remuneration of the Director appointing him and the proportion thereof shall be agreed between them.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82.</w:t>
            </w:r>
          </w:p>
        </w:tc>
        <w:tc>
          <w:tcPr>
            <w:tcW w:w="9899" w:type="dxa"/>
            <w:tcBorders/>
            <w:vAlign w:val="center"/>
          </w:tcPr>
          <w:p>
            <w:pPr>
              <w:pStyle w:val="TableContents"/>
              <w:bidi w:val="0"/>
              <w:spacing w:before="0" w:after="283"/>
              <w:jc w:val="both"/>
              <w:rPr/>
            </w:pPr>
            <w:r>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at which such proxy is to be used, or first used, prior to the commencement of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83.</w:t>
            </w:r>
          </w:p>
        </w:tc>
        <w:tc>
          <w:tcPr>
            <w:tcW w:w="9895" w:type="dxa"/>
            <w:tcBorders/>
            <w:vAlign w:val="center"/>
          </w:tcPr>
          <w:p>
            <w:pPr>
              <w:pStyle w:val="TableContents"/>
              <w:bidi w:val="0"/>
              <w:spacing w:before="0" w:after="283"/>
              <w:jc w:val="both"/>
              <w:rPr/>
            </w:pPr>
            <w:r>
              <w:rPr/>
              <w:t>Subject to the provisions of the Companies Act,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that would have been valid if that resolution had not been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84.</w:t>
            </w:r>
          </w:p>
        </w:tc>
        <w:tc>
          <w:tcPr>
            <w:tcW w:w="9902" w:type="dxa"/>
            <w:tcBorders/>
            <w:vAlign w:val="center"/>
          </w:tcPr>
          <w:p>
            <w:pPr>
              <w:pStyle w:val="TableContents"/>
              <w:bidi w:val="0"/>
              <w:spacing w:before="0" w:after="283"/>
              <w:jc w:val="both"/>
              <w:rPr/>
            </w:pPr>
            <w:r>
              <w:rPr/>
              <w:t>Subject to these Articles, the CEO may from time to time appoint any person, whether or not a Director of the Company, to hold such office in the Company as the CEO may think necessary for the administration of the Company, including without prejudice to the foregoing generality, the office of Chief Operating Officer, Chief Financial Officer or Chief Technology Officer, and for such term and at such remuneration (whether by way of salary or commission or participation in profits or partly in one way and partly in another), and with such powers and duties as the CEO may think fit. The Directors may appoint one or more members of their body (but not an alternate Director) to the office of Managing Director upon like terms, but any such appointment shall ipso facto determine if any Managing Director ceases from any cause to be a Director, or if the Company by Ordinary Resolution resolves that his tenure of office be terminated.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85.</w:t>
            </w:r>
          </w:p>
        </w:tc>
        <w:tc>
          <w:tcPr>
            <w:tcW w:w="9894" w:type="dxa"/>
            <w:tcBorders/>
            <w:vAlign w:val="center"/>
          </w:tcPr>
          <w:p>
            <w:pPr>
              <w:pStyle w:val="TableContents"/>
              <w:bidi w:val="0"/>
              <w:spacing w:before="0" w:after="283"/>
              <w:jc w:val="both"/>
              <w:rPr/>
            </w:pPr>
            <w:r>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87.</w:t>
            </w:r>
          </w:p>
        </w:tc>
        <w:tc>
          <w:tcPr>
            <w:tcW w:w="9886" w:type="dxa"/>
            <w:tcBorders/>
            <w:vAlign w:val="center"/>
          </w:tcPr>
          <w:p>
            <w:pPr>
              <w:pStyle w:val="TableContents"/>
              <w:bidi w:val="0"/>
              <w:spacing w:before="0" w:after="283"/>
              <w:jc w:val="both"/>
              <w:rPr/>
            </w:pPr>
            <w:r>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88.</w:t>
            </w:r>
          </w:p>
        </w:tc>
        <w:tc>
          <w:tcPr>
            <w:tcW w:w="9900" w:type="dxa"/>
            <w:tcBorders/>
            <w:vAlign w:val="center"/>
          </w:tcPr>
          <w:p>
            <w:pPr>
              <w:pStyle w:val="TableContents"/>
              <w:bidi w:val="0"/>
              <w:spacing w:before="0" w:after="283"/>
              <w:jc w:val="both"/>
              <w:rPr/>
            </w:pPr>
            <w:r>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89.</w:t>
            </w:r>
          </w:p>
        </w:tc>
        <w:tc>
          <w:tcPr>
            <w:tcW w:w="9886" w:type="dxa"/>
            <w:tcBorders/>
            <w:vAlign w:val="center"/>
          </w:tcPr>
          <w:p>
            <w:pPr>
              <w:pStyle w:val="TableContents"/>
              <w:bidi w:val="0"/>
              <w:spacing w:before="0" w:after="283"/>
              <w:jc w:val="both"/>
              <w:rPr/>
            </w:pPr>
            <w:r>
              <w:rPr/>
              <w:t>The Directors may from time to time provide for the management of the affairs of the Company in such manner as they shall think fit and the provisions contained in the following paragraphs shall be without prejudice to the general powers conferred by this paragraph.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90.</w:t>
            </w:r>
          </w:p>
        </w:tc>
        <w:tc>
          <w:tcPr>
            <w:tcW w:w="9891" w:type="dxa"/>
            <w:tcBorders/>
            <w:vAlign w:val="center"/>
          </w:tcPr>
          <w:p>
            <w:pPr>
              <w:pStyle w:val="TableContents"/>
              <w:bidi w:val="0"/>
              <w:spacing w:before="0" w:after="283"/>
              <w:jc w:val="both"/>
              <w:rPr/>
            </w:pPr>
            <w:r>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any of the aforesaid.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91.</w:t>
            </w:r>
          </w:p>
        </w:tc>
        <w:tc>
          <w:tcPr>
            <w:tcW w:w="9900" w:type="dxa"/>
            <w:tcBorders/>
            <w:vAlign w:val="center"/>
          </w:tcPr>
          <w:p>
            <w:pPr>
              <w:pStyle w:val="TableContents"/>
              <w:bidi w:val="0"/>
              <w:spacing w:before="0" w:after="283"/>
              <w:jc w:val="both"/>
              <w:rPr/>
            </w:pPr>
            <w:r>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92.</w:t>
            </w:r>
          </w:p>
        </w:tc>
        <w:tc>
          <w:tcPr>
            <w:tcW w:w="9872" w:type="dxa"/>
            <w:tcBorders/>
            <w:vAlign w:val="center"/>
          </w:tcPr>
          <w:p>
            <w:pPr>
              <w:pStyle w:val="TableContents"/>
              <w:bidi w:val="0"/>
              <w:spacing w:before="0" w:after="283"/>
              <w:jc w:val="both"/>
              <w:rPr/>
            </w:pPr>
            <w:r>
              <w:rPr/>
              <w:t>Any such delegates as aforesaid may be authorised by the Directors to sub-delegate all or any of the powers, authorities, and discretions for the time being vested to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93.</w:t>
            </w:r>
          </w:p>
        </w:tc>
        <w:tc>
          <w:tcPr>
            <w:tcW w:w="9893" w:type="dxa"/>
            <w:tcBorders/>
            <w:vAlign w:val="center"/>
          </w:tcPr>
          <w:p>
            <w:pPr>
              <w:pStyle w:val="TableContents"/>
              <w:bidi w:val="0"/>
              <w:spacing w:before="0" w:after="283"/>
              <w:jc w:val="both"/>
              <w:rPr/>
            </w:pPr>
            <w:r>
              <w:rPr/>
              <w:t>The Directors may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or as security for any debt, liability or obligation of the Company or of any third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DISQUALIFICATION OF DIRECTORS</w:t>
      </w:r>
    </w:p>
    <w:p>
      <w:pPr>
        <w:pStyle w:val="TextBody"/>
        <w:bidi w:val="0"/>
        <w:spacing w:before="0" w:after="0"/>
        <w:ind w:left="0" w:right="0" w:hanging="0"/>
        <w:jc w:val="left"/>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32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9395" w:type="dxa"/>
            <w:tcBorders/>
            <w:vAlign w:val="center"/>
          </w:tcPr>
          <w:p>
            <w:pPr>
              <w:pStyle w:val="TableContents"/>
              <w:bidi w:val="0"/>
              <w:spacing w:before="0" w:after="283"/>
              <w:jc w:val="both"/>
              <w:rPr/>
            </w:pPr>
            <w:r>
              <w:rPr/>
              <w:t>Notwithstanding anything in these Articles, the office of a Director shall be vacated, if the Director:</w:t>
            </w:r>
          </w:p>
        </w:tc>
      </w:tr>
    </w:tbl>
    <w:p>
      <w:pPr>
        <w:pStyle w:val="TextBody"/>
        <w:bidi w:val="0"/>
        <w:spacing w:before="0" w:after="0"/>
        <w:ind w:left="0" w:right="0" w:hanging="0"/>
        <w:jc w:val="left"/>
        <w:rPr>
          <w:caps w:val="false"/>
          <w:smallCaps w:val="false"/>
        </w:rPr>
      </w:pPr>
      <w:r>
        <w:rPr>
          <w:caps w:val="false"/>
          <w:smallCaps w:val="false"/>
        </w:rPr>
        <w:t> </w:t>
      </w:r>
    </w:p>
    <w:tbl>
      <w:tblPr>
        <w:tblW w:w="8328" w:type="dxa"/>
        <w:jc w:val="left"/>
        <w:tblInd w:w="0" w:type="dxa"/>
        <w:tblLayout w:type="fixed"/>
        <w:tblCellMar>
          <w:top w:w="0" w:type="dxa"/>
          <w:left w:w="0" w:type="dxa"/>
          <w:bottom w:w="0" w:type="dxa"/>
          <w:right w:w="0" w:type="dxa"/>
        </w:tblCellMar>
      </w:tblPr>
      <w:tblGrid>
        <w:gridCol w:w="38"/>
        <w:gridCol w:w="27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8015" w:type="dxa"/>
            <w:tcBorders/>
            <w:vAlign w:val="center"/>
          </w:tcPr>
          <w:p>
            <w:pPr>
              <w:pStyle w:val="TableContents"/>
              <w:bidi w:val="0"/>
              <w:spacing w:before="0" w:after="283"/>
              <w:jc w:val="both"/>
              <w:rPr/>
            </w:pPr>
            <w:r>
              <w:rPr/>
              <w:t>dies, becomes bankrupt or makes any arrangement or composition with his creditors;</w:t>
            </w:r>
          </w:p>
        </w:tc>
      </w:tr>
    </w:tbl>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245"/>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4190" w:type="dxa"/>
            <w:tcBorders/>
            <w:vAlign w:val="center"/>
          </w:tcPr>
          <w:p>
            <w:pPr>
              <w:pStyle w:val="TableContents"/>
              <w:bidi w:val="0"/>
              <w:spacing w:before="0" w:after="283"/>
              <w:jc w:val="both"/>
              <w:rPr/>
            </w:pPr>
            <w:r>
              <w:rPr/>
              <w:t>is found to be or becomes of unsound mind;</w:t>
            </w:r>
          </w:p>
        </w:tc>
      </w:tr>
    </w:tbl>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275"/>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165" w:type="dxa"/>
            <w:tcBorders/>
            <w:vAlign w:val="center"/>
          </w:tcPr>
          <w:p>
            <w:pPr>
              <w:pStyle w:val="TableContents"/>
              <w:bidi w:val="0"/>
              <w:spacing w:before="0" w:after="283"/>
              <w:jc w:val="both"/>
              <w:rPr/>
            </w:pPr>
            <w:r>
              <w:rPr/>
              <w:t>resigns his office by notice in writing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without special leave of absence from the Board, is absent from meetings of the Board for three consecutive meetings and the Board resolves that his office be vacated; or</w:t>
            </w:r>
          </w:p>
        </w:tc>
      </w:tr>
    </w:tbl>
    <w:p>
      <w:pPr>
        <w:pStyle w:val="TextBody"/>
        <w:bidi w:val="0"/>
        <w:spacing w:before="0" w:after="0"/>
        <w:ind w:left="0" w:right="0" w:hanging="0"/>
        <w:jc w:val="left"/>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275"/>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6320" w:type="dxa"/>
            <w:tcBorders/>
            <w:vAlign w:val="center"/>
          </w:tcPr>
          <w:p>
            <w:pPr>
              <w:pStyle w:val="TableContents"/>
              <w:bidi w:val="0"/>
              <w:spacing w:before="0" w:after="283"/>
              <w:jc w:val="both"/>
              <w:rPr/>
            </w:pPr>
            <w:r>
              <w:rPr/>
              <w:t>shall be removed from office pursuant to Article 77 or the Statutes.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1"/>
        <w:gridCol w:w="9876"/>
      </w:tblGrid>
      <w:tr>
        <w:trPr/>
        <w:tc>
          <w:tcPr>
            <w:tcW w:w="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95.</w:t>
            </w:r>
          </w:p>
        </w:tc>
        <w:tc>
          <w:tcPr>
            <w:tcW w:w="9876" w:type="dxa"/>
            <w:tcBorders/>
            <w:vAlign w:val="center"/>
          </w:tcPr>
          <w:p>
            <w:pPr>
              <w:pStyle w:val="TableContents"/>
              <w:bidi w:val="0"/>
              <w:spacing w:before="0" w:after="283"/>
              <w:jc w:val="both"/>
              <w:rPr/>
            </w:pPr>
            <w:r>
              <w:rPr/>
              <w:t>The Directors may meet together (whether within or outside the Cayman Islands) for the dispatch of business, adjourn, and otherwise regulate their meetings and proceedings as they think 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96.</w:t>
            </w:r>
          </w:p>
        </w:tc>
        <w:tc>
          <w:tcPr>
            <w:tcW w:w="9889" w:type="dxa"/>
            <w:tcBorders/>
            <w:vAlign w:val="center"/>
          </w:tcPr>
          <w:p>
            <w:pPr>
              <w:pStyle w:val="TableContents"/>
              <w:bidi w:val="0"/>
              <w:spacing w:before="0" w:after="283"/>
              <w:jc w:val="both"/>
              <w:rPr/>
            </w:pPr>
            <w:r>
              <w:rPr/>
              <w:t>The Chairman or at least a majority of the Directors then in office may at any time summon a meeting of the Directors, provided every other Director and alternate Director has been provided at least 48 hours’ prior notice of the date, time, venue and the proposed agenda of the proposed meeting of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97.</w:t>
            </w:r>
          </w:p>
        </w:tc>
        <w:tc>
          <w:tcPr>
            <w:tcW w:w="9894" w:type="dxa"/>
            <w:tcBorders/>
            <w:vAlign w:val="center"/>
          </w:tcPr>
          <w:p>
            <w:pPr>
              <w:pStyle w:val="TableContents"/>
              <w:bidi w:val="0"/>
              <w:spacing w:before="0" w:after="283"/>
              <w:jc w:val="both"/>
              <w:rPr/>
            </w:pPr>
            <w:r>
              <w:rPr/>
              <w:t>Notice of a meeting of the Board shall be deemed to be duly given to a Director if it is given to such Director verbally (in person or by telephone) or otherwise communicated or sent to such Director by post, cable, telex, telecopier, facsimile, electronic mail or other mode of representing words in a legible form at such Director’s last known address or any other address given by such Director to the Company for this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98.</w:t>
            </w:r>
          </w:p>
        </w:tc>
        <w:tc>
          <w:tcPr>
            <w:tcW w:w="9895" w:type="dxa"/>
            <w:tcBorders/>
            <w:vAlign w:val="center"/>
          </w:tcPr>
          <w:p>
            <w:pPr>
              <w:pStyle w:val="TableContents"/>
              <w:bidi w:val="0"/>
              <w:spacing w:before="0" w:after="283"/>
              <w:jc w:val="both"/>
              <w:rPr/>
            </w:pPr>
            <w:r>
              <w:rPr/>
              <w:t>A Director or Directors may participate in any meeting of the Board of Directors, or of any committee appointed by the Board of Directors of which such Director or Directors are members, by means of conference telephone, video conference or similar communication equipment by way of which all persons participating in such meeting can hear each other and such participation shall be deemed to constitute presence in person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99.</w:t>
            </w:r>
          </w:p>
        </w:tc>
        <w:tc>
          <w:tcPr>
            <w:tcW w:w="9901" w:type="dxa"/>
            <w:tcBorders/>
            <w:vAlign w:val="center"/>
          </w:tcPr>
          <w:p>
            <w:pPr>
              <w:pStyle w:val="TableContents"/>
              <w:bidi w:val="0"/>
              <w:spacing w:before="0" w:after="283"/>
              <w:jc w:val="both"/>
              <w:rPr/>
            </w:pPr>
            <w:r>
              <w:rPr/>
              <w:t>The quorum necessary for the transaction of the business of the Directors shall be a majority of the Directors then in office and shall include the Chairman and both Mr. Mingjun Lin and Ms. Yi Yang, provided that a Director and his appointed alternate Director shall be considered only one person for this purpose. A meeting of the Directors at which a quorum is present when the meeting proceeds to business shall be competent to exercise all powers and discretions for the time being exercisable by the Directors. A meeting of the Directors may be held by means of telephone or teleconferencing or any other telecommunications facility provided that all participants are thereby able to communicate immediately by voice with all other participants.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0"/>
        <w:gridCol w:w="9777"/>
      </w:tblGrid>
      <w:tr>
        <w:trPr/>
        <w:tc>
          <w:tcPr>
            <w:tcW w:w="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100.</w:t>
            </w:r>
          </w:p>
        </w:tc>
        <w:tc>
          <w:tcPr>
            <w:tcW w:w="9777" w:type="dxa"/>
            <w:tcBorders/>
            <w:vAlign w:val="center"/>
          </w:tcPr>
          <w:p>
            <w:pPr>
              <w:pStyle w:val="TableContents"/>
              <w:bidi w:val="0"/>
              <w:spacing w:before="0" w:after="283"/>
              <w:jc w:val="both"/>
              <w:rPr/>
            </w:pPr>
            <w:r>
              <w:rPr/>
              <w:t>If a quorum is not present at a Board meeting within thirty (30) minutes following the time appointed for such board meeting, the relevant meeting shall be adjourned for a period of at least three (3) Business Days and the presence of any three (3) directors shall constitute a quorum at such adjourned meeting. A meeting of the Directors at which a quorum is present when the meeting proceeds to business shall be competent to exercise all powers and discretions for the time being exercisable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3"/>
        <w:gridCol w:w="9774"/>
      </w:tblGrid>
      <w:tr>
        <w:trPr/>
        <w:tc>
          <w:tcPr>
            <w:tcW w:w="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101.</w:t>
            </w:r>
          </w:p>
        </w:tc>
        <w:tc>
          <w:tcPr>
            <w:tcW w:w="9774" w:type="dxa"/>
            <w:tcBorders/>
            <w:vAlign w:val="center"/>
          </w:tcPr>
          <w:p>
            <w:pPr>
              <w:pStyle w:val="TableContents"/>
              <w:bidi w:val="0"/>
              <w:spacing w:before="0" w:after="283"/>
              <w:jc w:val="both"/>
              <w:rPr/>
            </w:pPr>
            <w:r>
              <w:rPr/>
              <w:t>A majority of votes shall decide questions and resolutions arising at any meeting of the Directors and shall include the approval votes of both Mr. Mingjun Lin and Ms. Yi Yang. Each Director shall be entitled to one (1) vote in deciding matters deliberated at any meeting of the Directors. Both Mr. Mingjun Lin and Ms. Yi Yang has the veto power on any questions and resolutions arising at any meeting of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8"/>
        <w:gridCol w:w="44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7355" w:type="dxa"/>
            <w:tcBorders/>
            <w:vAlign w:val="center"/>
          </w:tcPr>
          <w:p>
            <w:pPr>
              <w:pStyle w:val="TableContents"/>
              <w:bidi w:val="0"/>
              <w:spacing w:before="0" w:after="283"/>
              <w:jc w:val="both"/>
              <w:rPr/>
            </w:pPr>
            <w:r>
              <w:rPr/>
              <w:t>In case of equality of votes, the Chairman shall have a second or casting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5"/>
        <w:gridCol w:w="9782"/>
      </w:tblGrid>
      <w:tr>
        <w:trPr/>
        <w:tc>
          <w:tcPr>
            <w:tcW w:w="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103.</w:t>
            </w:r>
          </w:p>
        </w:tc>
        <w:tc>
          <w:tcPr>
            <w:tcW w:w="9782" w:type="dxa"/>
            <w:tcBorders/>
            <w:vAlign w:val="center"/>
          </w:tcPr>
          <w:p>
            <w:pPr>
              <w:pStyle w:val="TableContents"/>
              <w:bidi w:val="0"/>
              <w:spacing w:before="0" w:after="283"/>
              <w:jc w:val="both"/>
              <w:rPr/>
            </w:pPr>
            <w:r>
              <w:rPr/>
              <w:t>Except as required by the Company’s corporate governance policies, a Director who is in any way, whether directly or indirectly, interested in a contract or proposed contract with the Company shall declare the nature of his interest at a meeting of the Directors. A general notice given to the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4"/>
        <w:gridCol w:w="9783"/>
      </w:tblGrid>
      <w:tr>
        <w:trPr/>
        <w:tc>
          <w:tcPr>
            <w:tcW w:w="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104.</w:t>
            </w:r>
          </w:p>
        </w:tc>
        <w:tc>
          <w:tcPr>
            <w:tcW w:w="9783" w:type="dxa"/>
            <w:tcBorders/>
            <w:vAlign w:val="center"/>
          </w:tcPr>
          <w:p>
            <w:pPr>
              <w:pStyle w:val="TableContents"/>
              <w:bidi w:val="0"/>
              <w:spacing w:before="0" w:after="283"/>
              <w:jc w:val="both"/>
              <w:rPr/>
            </w:pPr>
            <w:r>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whereat he or any other Director is appointed to hold any such office or place of profit under the Company or whereat the terms of any such appointment are arranged and he may vote on any such appointment or arrangement.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8"/>
        <w:gridCol w:w="9769"/>
      </w:tblGrid>
      <w:tr>
        <w:trPr/>
        <w:tc>
          <w:tcPr>
            <w:tcW w:w="3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105.</w:t>
            </w:r>
          </w:p>
        </w:tc>
        <w:tc>
          <w:tcPr>
            <w:tcW w:w="9769" w:type="dxa"/>
            <w:tcBorders/>
            <w:vAlign w:val="center"/>
          </w:tcPr>
          <w:p>
            <w:pPr>
              <w:pStyle w:val="TableContents"/>
              <w:bidi w:val="0"/>
              <w:spacing w:before="0" w:after="283"/>
              <w:jc w:val="both"/>
              <w:rPr/>
            </w:pPr>
            <w:r>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33"/>
        <w:gridCol w:w="9734"/>
      </w:tblGrid>
      <w:tr>
        <w:trPr/>
        <w:tc>
          <w:tcPr>
            <w:tcW w:w="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pPr>
            <w:r>
              <w:rPr/>
              <w:t>106.</w:t>
            </w:r>
          </w:p>
        </w:tc>
        <w:tc>
          <w:tcPr>
            <w:tcW w:w="9734" w:type="dxa"/>
            <w:tcBorders/>
            <w:vAlign w:val="center"/>
          </w:tcPr>
          <w:p>
            <w:pPr>
              <w:pStyle w:val="TableContents"/>
              <w:bidi w:val="0"/>
              <w:spacing w:before="0" w:after="283"/>
              <w:jc w:val="both"/>
              <w:rPr/>
            </w:pPr>
            <w:r>
              <w:rPr/>
              <w:t>The Directors shall cause minutes to be made in books or loose-leaf folders provided for the purpose of recording:</w:t>
            </w:r>
          </w:p>
        </w:tc>
      </w:tr>
    </w:tbl>
    <w:p>
      <w:pPr>
        <w:pStyle w:val="TextBody"/>
        <w:bidi w:val="0"/>
        <w:spacing w:before="0" w:after="0"/>
        <w:ind w:left="0" w:right="0" w:hanging="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27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805" w:type="dxa"/>
            <w:tcBorders/>
            <w:vAlign w:val="center"/>
          </w:tcPr>
          <w:p>
            <w:pPr>
              <w:pStyle w:val="TableContents"/>
              <w:bidi w:val="0"/>
              <w:spacing w:before="0" w:after="283"/>
              <w:jc w:val="both"/>
              <w:rPr/>
            </w:pPr>
            <w:r>
              <w:rPr/>
              <w:t>all appointments of officers made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283"/>
              <w:jc w:val="both"/>
              <w:rPr/>
            </w:pPr>
            <w:r>
              <w:rPr/>
              <w:t>the names of the Directors present at each meeting of the Directors and of any committee of the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t>all resolutions and proceedings at all meetings of the Company, and of the Directors and of committees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0"/>
        <w:gridCol w:w="9767"/>
      </w:tblGrid>
      <w:tr>
        <w:trPr/>
        <w:tc>
          <w:tcPr>
            <w:tcW w:w="3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107.</w:t>
            </w:r>
          </w:p>
        </w:tc>
        <w:tc>
          <w:tcPr>
            <w:tcW w:w="9767" w:type="dxa"/>
            <w:tcBorders/>
            <w:vAlign w:val="center"/>
          </w:tcPr>
          <w:p>
            <w:pPr>
              <w:pStyle w:val="TableContents"/>
              <w:bidi w:val="0"/>
              <w:spacing w:before="0" w:after="283"/>
              <w:jc w:val="both"/>
              <w:rPr/>
            </w:pPr>
            <w:r>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108.</w:t>
            </w:r>
          </w:p>
        </w:tc>
        <w:tc>
          <w:tcPr>
            <w:tcW w:w="9778" w:type="dxa"/>
            <w:tcBorders/>
            <w:vAlign w:val="center"/>
          </w:tcPr>
          <w:p>
            <w:pPr>
              <w:pStyle w:val="TableContents"/>
              <w:bidi w:val="0"/>
              <w:spacing w:before="0" w:after="283"/>
              <w:jc w:val="both"/>
              <w:rPr/>
            </w:pPr>
            <w:r>
              <w:rPr/>
              <w:t>A resolution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meeting of the Directors duly called and constituted and when signed, a resolution may consist of several documents each signed by one or more of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6"/>
        <w:gridCol w:w="9771"/>
      </w:tblGrid>
      <w:tr>
        <w:trPr/>
        <w:tc>
          <w:tcPr>
            <w:tcW w:w="3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109.</w:t>
            </w:r>
          </w:p>
        </w:tc>
        <w:tc>
          <w:tcPr>
            <w:tcW w:w="9771" w:type="dxa"/>
            <w:tcBorders/>
            <w:vAlign w:val="center"/>
          </w:tcPr>
          <w:p>
            <w:pPr>
              <w:pStyle w:val="TableContents"/>
              <w:bidi w:val="0"/>
              <w:spacing w:before="0" w:after="283"/>
              <w:jc w:val="both"/>
              <w:rPr/>
            </w:pPr>
            <w:r>
              <w:rPr/>
              <w:t>The continuing Directors may act, notwithstanding any vacancy in their body, but if their number is reduced below the number fixed pursuant to these Articles as the necessary quorum of Directors, then the continuing Directors may act only to increase the number or to summon a general meeting of the Company, but for no other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6"/>
        <w:gridCol w:w="9781"/>
      </w:tblGrid>
      <w:tr>
        <w:trPr/>
        <w:tc>
          <w:tcPr>
            <w:tcW w:w="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110.</w:t>
            </w:r>
          </w:p>
        </w:tc>
        <w:tc>
          <w:tcPr>
            <w:tcW w:w="9781" w:type="dxa"/>
            <w:tcBorders/>
            <w:vAlign w:val="center"/>
          </w:tcPr>
          <w:p>
            <w:pPr>
              <w:pStyle w:val="TableContents"/>
              <w:bidi w:val="0"/>
              <w:spacing w:before="0" w:after="283"/>
              <w:jc w:val="both"/>
              <w:rPr/>
            </w:pPr>
            <w:r>
              <w:rPr/>
              <w:t>The Board may delegate any of its powers, authorities and discretions to committees,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 A committee appointed by the Directors may elect a chairman of its meetings. If no such chairman is elected, or if at any meeting the chairman is not present within five minutes after the time appointed for holding the same, the members present may choose one of their number to be chairman of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0"/>
        <w:gridCol w:w="9767"/>
      </w:tblGrid>
      <w:tr>
        <w:trPr/>
        <w:tc>
          <w:tcPr>
            <w:tcW w:w="3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111.</w:t>
            </w:r>
          </w:p>
        </w:tc>
        <w:tc>
          <w:tcPr>
            <w:tcW w:w="9767" w:type="dxa"/>
            <w:tcBorders/>
            <w:vAlign w:val="center"/>
          </w:tcPr>
          <w:p>
            <w:pPr>
              <w:pStyle w:val="TableContents"/>
              <w:bidi w:val="0"/>
              <w:spacing w:before="0" w:after="283"/>
              <w:jc w:val="both"/>
              <w:rPr/>
            </w:pPr>
            <w:r>
              <w:rPr/>
              <w:t>A committee appointed by the Directors may meet and adjourn as it thinks proper. Questions arising at any meeting shall be determined by a majority of votes of the committee members present and in case of an equality of votes the chairman shall have a second or casting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3"/>
        <w:gridCol w:w="9774"/>
      </w:tblGrid>
      <w:tr>
        <w:trPr/>
        <w:tc>
          <w:tcPr>
            <w:tcW w:w="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112.</w:t>
            </w:r>
          </w:p>
        </w:tc>
        <w:tc>
          <w:tcPr>
            <w:tcW w:w="9774" w:type="dxa"/>
            <w:tcBorders/>
            <w:vAlign w:val="center"/>
          </w:tcPr>
          <w:p>
            <w:pPr>
              <w:pStyle w:val="TableContents"/>
              <w:bidi w:val="0"/>
              <w:spacing w:before="0" w:after="283"/>
              <w:jc w:val="both"/>
              <w:rPr/>
            </w:pPr>
            <w:r>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PRESUMPTION OF ASSENT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113.</w:t>
            </w:r>
          </w:p>
        </w:tc>
        <w:tc>
          <w:tcPr>
            <w:tcW w:w="9778" w:type="dxa"/>
            <w:tcBorders/>
            <w:vAlign w:val="center"/>
          </w:tcPr>
          <w:p>
            <w:pPr>
              <w:pStyle w:val="TableContents"/>
              <w:bidi w:val="0"/>
              <w:spacing w:before="0" w:after="283"/>
              <w:jc w:val="both"/>
              <w:rPr/>
            </w:pPr>
            <w:r>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DISTRIBUTIONS AND RESERVE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2"/>
        <w:gridCol w:w="9775"/>
      </w:tblGrid>
      <w:tr>
        <w:trPr/>
        <w:tc>
          <w:tcPr>
            <w:tcW w:w="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114.</w:t>
            </w:r>
          </w:p>
        </w:tc>
        <w:tc>
          <w:tcPr>
            <w:tcW w:w="9775" w:type="dxa"/>
            <w:tcBorders/>
            <w:vAlign w:val="center"/>
          </w:tcPr>
          <w:p>
            <w:pPr>
              <w:pStyle w:val="TableContents"/>
              <w:bidi w:val="0"/>
              <w:spacing w:before="0" w:after="283"/>
              <w:jc w:val="both"/>
              <w:rPr/>
            </w:pPr>
            <w:r>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 At any and every time the Directors declare dividends, Ordinary Shares shall have identical rights in the dividends so declared.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2"/>
        <w:gridCol w:w="9765"/>
      </w:tblGrid>
      <w:tr>
        <w:trPr/>
        <w:tc>
          <w:tcPr>
            <w:tcW w:w="3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t>115.</w:t>
            </w:r>
          </w:p>
        </w:tc>
        <w:tc>
          <w:tcPr>
            <w:tcW w:w="9765" w:type="dxa"/>
            <w:tcBorders/>
            <w:vAlign w:val="center"/>
          </w:tcPr>
          <w:p>
            <w:pPr>
              <w:pStyle w:val="TableContents"/>
              <w:bidi w:val="0"/>
              <w:spacing w:before="0" w:after="283"/>
              <w:jc w:val="both"/>
              <w:rPr/>
            </w:pPr>
            <w:r>
              <w:rPr/>
              <w:t>Subject to any rights and restrictions for the time being attached to any class or classes of shares and these Articles, the Company by Ordinary Resolution may declare dividends, but no dividend shall exceed the amount recommended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116.</w:t>
            </w:r>
          </w:p>
        </w:tc>
        <w:tc>
          <w:tcPr>
            <w:tcW w:w="9778" w:type="dxa"/>
            <w:tcBorders/>
            <w:vAlign w:val="center"/>
          </w:tcPr>
          <w:p>
            <w:pPr>
              <w:pStyle w:val="TableContents"/>
              <w:bidi w:val="0"/>
              <w:spacing w:before="0" w:after="283"/>
              <w:jc w:val="both"/>
              <w:rPr/>
            </w:pPr>
            <w:r>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may be properly applied and pending such application may, at the like discretion, either be employed in the business of the Company or be invested in such investments (other than shares of the Company) as the Directors may from time to time think 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0"/>
        <w:gridCol w:w="9777"/>
      </w:tblGrid>
      <w:tr>
        <w:trPr/>
        <w:tc>
          <w:tcPr>
            <w:tcW w:w="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117.</w:t>
            </w:r>
          </w:p>
        </w:tc>
        <w:tc>
          <w:tcPr>
            <w:tcW w:w="9777" w:type="dxa"/>
            <w:tcBorders/>
            <w:vAlign w:val="center"/>
          </w:tcPr>
          <w:p>
            <w:pPr>
              <w:pStyle w:val="TableContents"/>
              <w:bidi w:val="0"/>
              <w:spacing w:before="0" w:after="283"/>
              <w:jc w:val="both"/>
              <w:rPr/>
            </w:pPr>
            <w:r>
              <w:rPr/>
              <w:t>Any dividend may be paid by cheque or wire transfer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9"/>
        <w:gridCol w:w="9748"/>
      </w:tblGrid>
      <w:tr>
        <w:trPr/>
        <w:tc>
          <w:tcPr>
            <w:tcW w:w="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pPr>
            <w:r>
              <w:rPr/>
              <w:t>118.</w:t>
            </w:r>
          </w:p>
        </w:tc>
        <w:tc>
          <w:tcPr>
            <w:tcW w:w="9748" w:type="dxa"/>
            <w:tcBorders/>
            <w:vAlign w:val="center"/>
          </w:tcPr>
          <w:p>
            <w:pPr>
              <w:pStyle w:val="TableContents"/>
              <w:bidi w:val="0"/>
              <w:spacing w:before="0" w:after="283"/>
              <w:jc w:val="both"/>
              <w:rPr/>
            </w:pPr>
            <w:r>
              <w:rPr/>
              <w:t>The Directors when paying dividends to the Members in accordance with the foregoing provisions may make such payment either in cash or in specie.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5"/>
        <w:gridCol w:w="9772"/>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119.</w:t>
            </w:r>
          </w:p>
        </w:tc>
        <w:tc>
          <w:tcPr>
            <w:tcW w:w="9772" w:type="dxa"/>
            <w:tcBorders/>
            <w:vAlign w:val="center"/>
          </w:tcPr>
          <w:p>
            <w:pPr>
              <w:pStyle w:val="TableContents"/>
              <w:bidi w:val="0"/>
              <w:spacing w:before="0" w:after="283"/>
              <w:jc w:val="both"/>
              <w:rPr/>
            </w:pPr>
            <w:r>
              <w:rPr/>
              <w:t>Dividends may be declared and paid out of profits of the Company, realised or unrealised, or from any reserve set aside from profits which the Directors determine is no longer needed. Dividends may also be declared and paid out of share premium account or any other fund or account which can be authorised for this purpose in accordance with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1"/>
        <w:gridCol w:w="9776"/>
      </w:tblGrid>
      <w:tr>
        <w:trPr/>
        <w:tc>
          <w:tcPr>
            <w:tcW w:w="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120.</w:t>
            </w:r>
          </w:p>
        </w:tc>
        <w:tc>
          <w:tcPr>
            <w:tcW w:w="9776" w:type="dxa"/>
            <w:tcBorders/>
            <w:vAlign w:val="center"/>
          </w:tcPr>
          <w:p>
            <w:pPr>
              <w:pStyle w:val="TableContents"/>
              <w:bidi w:val="0"/>
              <w:spacing w:before="0" w:after="283"/>
              <w:jc w:val="both"/>
              <w:rPr/>
            </w:pPr>
            <w:r>
              <w:rPr/>
              <w:t>Subject to the rights of persons, if any, entitled to shares with special rights as to dividends, all dividends shall be declared and paid according to the amounts paid or credited as fully paid on the shares, but if and so long as nothing is paid up on any of the shares in the Company dividends may be declared and paid according to the amounts of the shares. No amount paid on a share in advance of calls shall, while carrying interest, be treated for the purposes of this Article as paid on the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4"/>
        <w:gridCol w:w="9753"/>
      </w:tblGrid>
      <w:tr>
        <w:trPr/>
        <w:tc>
          <w:tcPr>
            <w:tcW w:w="3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pPr>
            <w:r>
              <w:rPr/>
              <w:t>121.</w:t>
            </w:r>
          </w:p>
        </w:tc>
        <w:tc>
          <w:tcPr>
            <w:tcW w:w="9753" w:type="dxa"/>
            <w:tcBorders/>
            <w:vAlign w:val="center"/>
          </w:tcPr>
          <w:p>
            <w:pPr>
              <w:pStyle w:val="TableContents"/>
              <w:bidi w:val="0"/>
              <w:spacing w:before="0" w:after="283"/>
              <w:jc w:val="both"/>
              <w:rPr/>
            </w:pPr>
            <w:r>
              <w:rPr/>
              <w:t>If several persons are registered as joint holders of any share, any of them may give effectual receipts for any dividend or other monies payable on or in respect of the share.</w:t>
            </w:r>
          </w:p>
        </w:tc>
      </w:tr>
    </w:tbl>
    <w:p>
      <w:pPr>
        <w:pStyle w:val="TextBody"/>
        <w:bidi w:val="0"/>
        <w:spacing w:before="0" w:after="0"/>
        <w:ind w:left="0" w:right="0" w:hanging="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44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122.</w:t>
            </w:r>
          </w:p>
        </w:tc>
        <w:tc>
          <w:tcPr>
            <w:tcW w:w="5030" w:type="dxa"/>
            <w:tcBorders/>
            <w:vAlign w:val="center"/>
          </w:tcPr>
          <w:p>
            <w:pPr>
              <w:pStyle w:val="TableContents"/>
              <w:bidi w:val="0"/>
              <w:spacing w:before="0" w:after="283"/>
              <w:jc w:val="both"/>
              <w:rPr/>
            </w:pPr>
            <w:r>
              <w:rPr/>
              <w:t>No dividend shall bear interest against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123.</w:t>
            </w:r>
          </w:p>
        </w:tc>
        <w:tc>
          <w:tcPr>
            <w:tcW w:w="9758" w:type="dxa"/>
            <w:tcBorders/>
            <w:vAlign w:val="center"/>
          </w:tcPr>
          <w:p>
            <w:pPr>
              <w:pStyle w:val="TableContents"/>
              <w:bidi w:val="0"/>
              <w:spacing w:before="0" w:after="283"/>
              <w:jc w:val="both"/>
              <w:rPr/>
            </w:pPr>
            <w:r>
              <w:rPr/>
              <w:t>Any dividend unclaimed after a period of six calendar years from the date of declaration of such dividend may be forfeited by the Board of Directors and, if so forfeited, shall revert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 OF ACCOUNTS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2"/>
        <w:gridCol w:w="9745"/>
      </w:tblGrid>
      <w:tr>
        <w:trPr/>
        <w:tc>
          <w:tcPr>
            <w:tcW w:w="3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pPr>
            <w:r>
              <w:rPr/>
              <w:t>124.</w:t>
            </w:r>
          </w:p>
        </w:tc>
        <w:tc>
          <w:tcPr>
            <w:tcW w:w="9745" w:type="dxa"/>
            <w:tcBorders/>
            <w:vAlign w:val="center"/>
          </w:tcPr>
          <w:p>
            <w:pPr>
              <w:pStyle w:val="TableContents"/>
              <w:bidi w:val="0"/>
              <w:spacing w:before="0" w:after="283"/>
              <w:jc w:val="both"/>
              <w:rPr/>
            </w:pPr>
            <w:r>
              <w:rPr/>
              <w:t>The books of account relating to the Company’s affairs shall be kept in such manner as may be determined from time to time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1"/>
        <w:gridCol w:w="9746"/>
      </w:tblGrid>
      <w:tr>
        <w:trPr/>
        <w:tc>
          <w:tcPr>
            <w:tcW w:w="3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t>125.</w:t>
            </w:r>
          </w:p>
        </w:tc>
        <w:tc>
          <w:tcPr>
            <w:tcW w:w="9746" w:type="dxa"/>
            <w:tcBorders/>
            <w:vAlign w:val="center"/>
          </w:tcPr>
          <w:p>
            <w:pPr>
              <w:pStyle w:val="TableContents"/>
              <w:bidi w:val="0"/>
              <w:spacing w:before="0" w:after="283"/>
              <w:jc w:val="both"/>
              <w:rPr/>
            </w:pPr>
            <w:r>
              <w:rPr/>
              <w:t>The books of account shall be kept at such place or places as the Directors think fit, and shall always be open to the inspection of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1"/>
        <w:gridCol w:w="9776"/>
      </w:tblGrid>
      <w:tr>
        <w:trPr/>
        <w:tc>
          <w:tcPr>
            <w:tcW w:w="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126.</w:t>
            </w:r>
          </w:p>
        </w:tc>
        <w:tc>
          <w:tcPr>
            <w:tcW w:w="9776" w:type="dxa"/>
            <w:tcBorders/>
            <w:vAlign w:val="center"/>
          </w:tcPr>
          <w:p>
            <w:pPr>
              <w:pStyle w:val="TableContents"/>
              <w:bidi w:val="0"/>
              <w:spacing w:before="0" w:after="283"/>
              <w:jc w:val="both"/>
              <w:rPr/>
            </w:pPr>
            <w:r>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authorised by the Directors or by the Company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3"/>
        <w:gridCol w:w="9774"/>
      </w:tblGrid>
      <w:tr>
        <w:trPr/>
        <w:tc>
          <w:tcPr>
            <w:tcW w:w="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127.</w:t>
            </w:r>
          </w:p>
        </w:tc>
        <w:tc>
          <w:tcPr>
            <w:tcW w:w="9774" w:type="dxa"/>
            <w:tcBorders/>
            <w:vAlign w:val="center"/>
          </w:tcPr>
          <w:p>
            <w:pPr>
              <w:pStyle w:val="TableContents"/>
              <w:bidi w:val="0"/>
              <w:spacing w:before="0" w:after="283"/>
              <w:jc w:val="both"/>
              <w:rPr/>
            </w:pPr>
            <w:r>
              <w:rPr/>
              <w:t>Subject to the requirements of applicable law and the applicable rules of the Designated Stock Exchange, the accounts relating to the Company’s affairs shall be audited in such manner and with such financial year end as may be determined from time to time by the Company by Ordinary Resolution or failing any such determination by the Directors or failing any determination as aforesaid shall not be audited.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RETURNS AND FILINGS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30"/>
        <w:gridCol w:w="9737"/>
      </w:tblGrid>
      <w:tr>
        <w:trPr/>
        <w:tc>
          <w:tcPr>
            <w:tcW w:w="3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128.</w:t>
            </w:r>
          </w:p>
        </w:tc>
        <w:tc>
          <w:tcPr>
            <w:tcW w:w="9737" w:type="dxa"/>
            <w:tcBorders/>
            <w:vAlign w:val="center"/>
          </w:tcPr>
          <w:p>
            <w:pPr>
              <w:pStyle w:val="TableContents"/>
              <w:bidi w:val="0"/>
              <w:spacing w:before="0" w:after="283"/>
              <w:jc w:val="both"/>
              <w:rPr/>
            </w:pPr>
            <w:r>
              <w:rPr/>
              <w:t>The Board shall make the requisite annual returns and any other requisite filings in accordance with the Companies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3"/>
        <w:gridCol w:w="9754"/>
      </w:tblGrid>
      <w:tr>
        <w:trPr/>
        <w:tc>
          <w:tcPr>
            <w:tcW w:w="3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129.</w:t>
            </w:r>
          </w:p>
        </w:tc>
        <w:tc>
          <w:tcPr>
            <w:tcW w:w="9754" w:type="dxa"/>
            <w:tcBorders/>
            <w:vAlign w:val="center"/>
          </w:tcPr>
          <w:p>
            <w:pPr>
              <w:pStyle w:val="TableContents"/>
              <w:bidi w:val="0"/>
              <w:spacing w:before="0" w:after="283"/>
              <w:jc w:val="both"/>
              <w:rPr/>
            </w:pPr>
            <w:r>
              <w:rPr/>
              <w:t>The Directors may appoint an Auditor of the Company who shall hold office until removed from office by a resolution of the Directors and may fix his or their remuneration.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8"/>
        <w:gridCol w:w="9769"/>
      </w:tblGrid>
      <w:tr>
        <w:trPr/>
        <w:tc>
          <w:tcPr>
            <w:tcW w:w="3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130.</w:t>
            </w:r>
          </w:p>
        </w:tc>
        <w:tc>
          <w:tcPr>
            <w:tcW w:w="9769" w:type="dxa"/>
            <w:tcBorders/>
            <w:vAlign w:val="center"/>
          </w:tcPr>
          <w:p>
            <w:pPr>
              <w:pStyle w:val="TableContents"/>
              <w:bidi w:val="0"/>
              <w:spacing w:before="0" w:after="283"/>
              <w:jc w:val="both"/>
              <w:rPr/>
            </w:pPr>
            <w:r>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131.</w:t>
            </w:r>
          </w:p>
        </w:tc>
        <w:tc>
          <w:tcPr>
            <w:tcW w:w="9778" w:type="dxa"/>
            <w:tcBorders/>
            <w:vAlign w:val="center"/>
          </w:tcPr>
          <w:p>
            <w:pPr>
              <w:pStyle w:val="TableContents"/>
              <w:bidi w:val="0"/>
              <w:spacing w:before="0" w:after="283"/>
              <w:jc w:val="both"/>
              <w:rPr/>
            </w:pPr>
            <w:r>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special meeting following their appointment in the case of a company which is registered with the Registrar of Companies as an exempted company, and at any time during their term of office, upon request of the Directors at any general meeting of the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132.</w:t>
            </w:r>
          </w:p>
        </w:tc>
        <w:tc>
          <w:tcPr>
            <w:tcW w:w="9778" w:type="dxa"/>
            <w:tcBorders/>
            <w:vAlign w:val="center"/>
          </w:tcPr>
          <w:p>
            <w:pPr>
              <w:pStyle w:val="TableContents"/>
              <w:bidi w:val="0"/>
              <w:spacing w:before="0" w:after="283"/>
              <w:jc w:val="both"/>
              <w:rPr/>
            </w:pPr>
            <w:r>
              <w:rPr/>
              <w:t>The Seal of the Company shall not be affixed to any instrument except by the authority of a resolution of the Board of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of the Company is so affixed in their presence.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8"/>
        <w:gridCol w:w="9779"/>
      </w:tblGrid>
      <w:tr>
        <w:trPr/>
        <w:tc>
          <w:tcPr>
            <w:tcW w:w="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133.</w:t>
            </w:r>
          </w:p>
        </w:tc>
        <w:tc>
          <w:tcPr>
            <w:tcW w:w="9779" w:type="dxa"/>
            <w:tcBorders/>
            <w:vAlign w:val="center"/>
          </w:tcPr>
          <w:p>
            <w:pPr>
              <w:pStyle w:val="TableContents"/>
              <w:bidi w:val="0"/>
              <w:spacing w:before="0" w:after="283"/>
              <w:jc w:val="both"/>
              <w:rPr/>
            </w:pPr>
            <w:r>
              <w:rPr/>
              <w:t>The Company may maintain a facsimile of its Seal in such countries or places as the Directors may appoint and such facsimile Seal shall not be affixed to any instrument except by the authority of a resolution of the Board of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of the Company is so affixed in their presence.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1"/>
        <w:gridCol w:w="9766"/>
      </w:tblGrid>
      <w:tr>
        <w:trPr/>
        <w:tc>
          <w:tcPr>
            <w:tcW w:w="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134.</w:t>
            </w:r>
          </w:p>
        </w:tc>
        <w:tc>
          <w:tcPr>
            <w:tcW w:w="9766" w:type="dxa"/>
            <w:tcBorders/>
            <w:vAlign w:val="center"/>
          </w:tcPr>
          <w:p>
            <w:pPr>
              <w:pStyle w:val="TableContents"/>
              <w:bidi w:val="0"/>
              <w:spacing w:before="0" w:after="283"/>
              <w:jc w:val="both"/>
              <w:rPr/>
            </w:pPr>
            <w:r>
              <w:rPr/>
              <w:t>Notwithstanding the foregoing, a Director shall have the authority to affix the Seal, or the facsimile Seal, to any instrument for the purposes of attesting authenticity of the matter contained therein but which does not create any obligation binding on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39"/>
        <w:gridCol w:w="9728"/>
      </w:tblGrid>
      <w:tr>
        <w:trPr/>
        <w:tc>
          <w:tcPr>
            <w:tcW w:w="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pPr>
            <w:r>
              <w:rPr/>
              <w:t>135.</w:t>
            </w:r>
          </w:p>
        </w:tc>
        <w:tc>
          <w:tcPr>
            <w:tcW w:w="9728" w:type="dxa"/>
            <w:tcBorders/>
            <w:vAlign w:val="center"/>
          </w:tcPr>
          <w:p>
            <w:pPr>
              <w:pStyle w:val="TableContents"/>
              <w:bidi w:val="0"/>
              <w:spacing w:before="0" w:after="283"/>
              <w:jc w:val="both"/>
              <w:rPr/>
            </w:pPr>
            <w:r>
              <w:rPr/>
              <w:t>Subject to the Statutes and these Articles, the Board may, with the authority of an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resolve to capitalise an amount standing to the credit of reserves (including a share premium account, capital redemption reserve and profit and loss account), whether or not available for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appropriate the sum resolved to be capitalised to the Members in proportion to the nominal amount of shares (whether or not fully paid) held by them respectively and apply that sum on their behalf in or towards: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50"/>
        <w:gridCol w:w="9914"/>
      </w:tblGrid>
      <w:tr>
        <w:trPr/>
        <w:tc>
          <w:tcPr>
            <w:tcW w:w="4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(i)</w:t>
            </w:r>
          </w:p>
        </w:tc>
        <w:tc>
          <w:tcPr>
            <w:tcW w:w="9914" w:type="dxa"/>
            <w:tcBorders/>
            <w:vAlign w:val="center"/>
          </w:tcPr>
          <w:p>
            <w:pPr>
              <w:pStyle w:val="TableContents"/>
              <w:bidi w:val="0"/>
              <w:spacing w:before="0" w:after="283"/>
              <w:jc w:val="both"/>
              <w:rPr/>
            </w:pPr>
            <w:r>
              <w:rPr/>
              <w:t>paying up the amounts (if any) for the time being unpaid on shares held by them respectively;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7"/>
        <w:gridCol w:w="9813"/>
      </w:tblGrid>
      <w:tr>
        <w:trPr/>
        <w:tc>
          <w:tcPr>
            <w:tcW w:w="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(ii)</w:t>
            </w:r>
          </w:p>
        </w:tc>
        <w:tc>
          <w:tcPr>
            <w:tcW w:w="9813" w:type="dxa"/>
            <w:tcBorders/>
            <w:vAlign w:val="center"/>
          </w:tcPr>
          <w:p>
            <w:pPr>
              <w:pStyle w:val="TableContents"/>
              <w:bidi w:val="0"/>
              <w:spacing w:before="0" w:after="283"/>
              <w:jc w:val="both"/>
              <w:rPr/>
            </w:pPr>
            <w:r>
              <w:rPr/>
              <w:t>paying up in full unissued shares or debentures of a nominal amount equal to that sum,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allot the shares or debentures, credited as fully paid, to the Members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Members credited as fully paid;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(d)</w:t>
            </w:r>
          </w:p>
        </w:tc>
        <w:tc>
          <w:tcPr>
            <w:tcW w:w="9889" w:type="dxa"/>
            <w:tcBorders/>
            <w:vAlign w:val="center"/>
          </w:tcPr>
          <w:p>
            <w:pPr>
              <w:pStyle w:val="TableContents"/>
              <w:bidi w:val="0"/>
              <w:spacing w:before="0" w:after="283"/>
              <w:jc w:val="both"/>
              <w:rPr/>
            </w:pPr>
            <w:r>
              <w:rPr/>
              <w:t>authorise a person to enter (on behalf of all the Members concerned) an agreement with the Company providing for either: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(i)</w:t>
            </w:r>
          </w:p>
        </w:tc>
        <w:tc>
          <w:tcPr>
            <w:tcW w:w="9960" w:type="dxa"/>
            <w:tcBorders/>
            <w:vAlign w:val="center"/>
          </w:tcPr>
          <w:p>
            <w:pPr>
              <w:pStyle w:val="TableContents"/>
              <w:bidi w:val="0"/>
              <w:spacing w:before="0" w:after="283"/>
              <w:jc w:val="both"/>
              <w:rPr/>
            </w:pPr>
            <w:r>
              <w:rPr/>
              <w:t>the allotment to the Members respectively, credited as fully paid, of shares or debentures to which they may be entitled on the capitalisation,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(ii)</w:t>
            </w:r>
          </w:p>
        </w:tc>
        <w:tc>
          <w:tcPr>
            <w:tcW w:w="9931" w:type="dxa"/>
            <w:tcBorders/>
            <w:vAlign w:val="center"/>
          </w:tcPr>
          <w:p>
            <w:pPr>
              <w:pStyle w:val="TableContents"/>
              <w:bidi w:val="0"/>
              <w:spacing w:before="0" w:after="283"/>
              <w:jc w:val="both"/>
              <w:rPr/>
            </w:pPr>
            <w:r>
              <w:rPr/>
              <w:t>the payment by the Company on behalf of the Members (by the application of their respective operations of the reserves resolved to be capitalised) of the amounts or part of the amounts remaining unpaid on their existing shares, an agreement made under the authority being effective and binding on all those Members; and</w:t>
            </w:r>
          </w:p>
        </w:tc>
      </w:tr>
    </w:tbl>
    <w:p>
      <w:pPr>
        <w:pStyle w:val="TextBody"/>
        <w:bidi w:val="0"/>
        <w:spacing w:before="0" w:after="0"/>
        <w:ind w:left="0" w:right="0" w:hanging="0"/>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275"/>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6710" w:type="dxa"/>
            <w:tcBorders/>
            <w:vAlign w:val="center"/>
          </w:tcPr>
          <w:p>
            <w:pPr>
              <w:pStyle w:val="TableContents"/>
              <w:bidi w:val="0"/>
              <w:spacing w:before="0" w:after="283"/>
              <w:jc w:val="both"/>
              <w:rPr/>
            </w:pPr>
            <w:r>
              <w:rPr/>
              <w:t>generally do all acts and things required to give effect to the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5"/>
        <w:gridCol w:w="9772"/>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136.</w:t>
            </w:r>
          </w:p>
        </w:tc>
        <w:tc>
          <w:tcPr>
            <w:tcW w:w="9772" w:type="dxa"/>
            <w:tcBorders/>
            <w:vAlign w:val="center"/>
          </w:tcPr>
          <w:p>
            <w:pPr>
              <w:pStyle w:val="TableContents"/>
              <w:bidi w:val="0"/>
              <w:spacing w:before="0" w:after="283"/>
              <w:jc w:val="both"/>
              <w:rPr/>
            </w:pPr>
            <w:r>
              <w:rPr/>
              <w:t>Notwithstanding any provisions in these Articles,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1" w:type="dxa"/>
            <w:tcBorders/>
            <w:vAlign w:val="center"/>
          </w:tcPr>
          <w:p>
            <w:pPr>
              <w:pStyle w:val="TableContents"/>
              <w:bidi w:val="0"/>
              <w:spacing w:before="0" w:after="283"/>
              <w:jc w:val="both"/>
              <w:rPr/>
            </w:pPr>
            <w:r>
              <w:rPr/>
              <w:t>any depositary of the Company for the purposes of the issue, allotment and delivery by any depositary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6"/>
        <w:gridCol w:w="9781"/>
      </w:tblGrid>
      <w:tr>
        <w:trPr/>
        <w:tc>
          <w:tcPr>
            <w:tcW w:w="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137.</w:t>
            </w:r>
          </w:p>
        </w:tc>
        <w:tc>
          <w:tcPr>
            <w:tcW w:w="9781" w:type="dxa"/>
            <w:tcBorders/>
            <w:vAlign w:val="center"/>
          </w:tcPr>
          <w:p>
            <w:pPr>
              <w:pStyle w:val="TableContents"/>
              <w:bidi w:val="0"/>
              <w:spacing w:before="0" w:after="283"/>
              <w:jc w:val="both"/>
              <w:rPr/>
            </w:pPr>
            <w:r>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the Member at his address as appears in the Register of Members or, to the extent permitted by all applicable laws and regulations, by electronic means by transmitting it to any electronic number or address or website supplied by the Member to the Company or by placing it on the Company’s Website. In the case of joint holders of a share, all notices shall be given to that one of the joint holders whose name stands first in the Register of Members in respect of the joint holding, and notice so given shall be sufficient notice to all the joint holders.</w:t>
            </w:r>
          </w:p>
        </w:tc>
      </w:tr>
    </w:tbl>
    <w:p>
      <w:pPr>
        <w:pStyle w:val="TextBody"/>
        <w:bidi w:val="0"/>
        <w:spacing w:before="0" w:after="0"/>
        <w:ind w:left="0" w:right="0" w:hanging="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44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138.</w:t>
            </w:r>
          </w:p>
        </w:tc>
        <w:tc>
          <w:tcPr>
            <w:tcW w:w="8930" w:type="dxa"/>
            <w:tcBorders/>
            <w:vAlign w:val="center"/>
          </w:tcPr>
          <w:p>
            <w:pPr>
              <w:pStyle w:val="TableContents"/>
              <w:bidi w:val="0"/>
              <w:spacing w:before="0" w:after="283"/>
              <w:jc w:val="both"/>
              <w:rPr/>
            </w:pPr>
            <w:r>
              <w:rPr/>
              <w:t>Notices posted to addresses outside the Cayman Islands shall be forwarded by prepaid airmail.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4"/>
        <w:gridCol w:w="9763"/>
      </w:tblGrid>
      <w:tr>
        <w:trPr/>
        <w:tc>
          <w:tcPr>
            <w:tcW w:w="3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139.</w:t>
            </w:r>
          </w:p>
        </w:tc>
        <w:tc>
          <w:tcPr>
            <w:tcW w:w="9763" w:type="dxa"/>
            <w:tcBorders/>
            <w:vAlign w:val="center"/>
          </w:tcPr>
          <w:p>
            <w:pPr>
              <w:pStyle w:val="TableContents"/>
              <w:bidi w:val="0"/>
              <w:spacing w:before="0" w:after="283"/>
              <w:jc w:val="both"/>
              <w:rPr/>
            </w:pPr>
            <w:r>
              <w:rPr/>
              <w:t>Any Member present, either personally or by proxy, at any meeting of the Company shall for all purposes be deemed to have received due notice of such meeting and, where requisite, of the purposes for which such meeting was convened.</w:t>
            </w:r>
          </w:p>
        </w:tc>
      </w:tr>
    </w:tbl>
    <w:p>
      <w:pPr>
        <w:pStyle w:val="TextBody"/>
        <w:bidi w:val="0"/>
        <w:spacing w:before="0" w:after="0"/>
        <w:ind w:left="0" w:right="0"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44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140.</w:t>
            </w:r>
          </w:p>
        </w:tc>
        <w:tc>
          <w:tcPr>
            <w:tcW w:w="4160" w:type="dxa"/>
            <w:tcBorders/>
            <w:vAlign w:val="center"/>
          </w:tcPr>
          <w:p>
            <w:pPr>
              <w:pStyle w:val="TableContents"/>
              <w:bidi w:val="0"/>
              <w:spacing w:before="0" w:after="283"/>
              <w:jc w:val="both"/>
              <w:rPr/>
            </w:pPr>
            <w:r>
              <w:rPr/>
              <w:t>Any notice or other document, if served 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pPr>
            <w:r>
              <w:rPr/>
              <w:t>post, shall be deemed to have been served five calendar days after the time when the letter containing the same is posted (in proving such service it shall be sufficient to prove that the letter containing the notice or document was properly addressed and duly posted to the courier);</w:t>
            </w:r>
          </w:p>
        </w:tc>
      </w:tr>
    </w:tbl>
    <w:p>
      <w:pPr>
        <w:pStyle w:val="TextBody"/>
        <w:bidi w:val="0"/>
        <w:spacing w:before="0" w:after="0"/>
        <w:ind w:left="0" w:right="0" w:hanging="0"/>
        <w:jc w:val="left"/>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29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250" w:type="dxa"/>
            <w:tcBorders/>
            <w:vAlign w:val="center"/>
          </w:tcPr>
          <w:p>
            <w:pPr>
              <w:pStyle w:val="TableContents"/>
              <w:bidi w:val="0"/>
              <w:spacing w:before="0" w:after="283"/>
              <w:jc w:val="both"/>
              <w:rPr/>
            </w:pPr>
            <w:r>
              <w:rPr/>
              <w:t>facsimile, shall be deemed to have been served upon confirmation of receipt;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recognised courier service, shall be deemed to have been served 48 hours after the time when the letter containing the same is delivered to the courier service and in proving such service it shall be sufficient to prove that the letter containing the notice or documents was properly addressed and duly delivered to the courier;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both"/>
              <w:rPr/>
            </w:pPr>
            <w:r>
              <w:rPr/>
              <w:t>electronic means as provided herein shall be deemed to have been served and delivered on the day following that on which it is successfully transmitted or at such later time as may be prescribed by any applicable laws or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7"/>
        <w:gridCol w:w="9780"/>
      </w:tblGrid>
      <w:tr>
        <w:trPr/>
        <w:tc>
          <w:tcPr>
            <w:tcW w:w="3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pPr>
            <w:r>
              <w:rPr/>
              <w:t>141.</w:t>
            </w:r>
          </w:p>
        </w:tc>
        <w:tc>
          <w:tcPr>
            <w:tcW w:w="9780" w:type="dxa"/>
            <w:tcBorders/>
            <w:vAlign w:val="center"/>
          </w:tcPr>
          <w:p>
            <w:pPr>
              <w:pStyle w:val="TableContents"/>
              <w:bidi w:val="0"/>
              <w:spacing w:before="0" w:after="283"/>
              <w:jc w:val="both"/>
              <w:rPr/>
            </w:pPr>
            <w:r>
              <w:rPr/>
              <w:t>Any notice or document delivered or sent to any Member in accordance with the terms of these Articles shall notwithstanding that such Member be then dead or bankrupt or being wound-up, and whether or not the Company has notice of his death or bankruptcy or winding-up, be deemed to have been duly served in respect of any share registered in the name of such Member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tc>
      </w:tr>
    </w:tbl>
    <w:p>
      <w:pPr>
        <w:pStyle w:val="TextBody"/>
        <w:bidi w:val="0"/>
        <w:spacing w:before="0" w:after="0"/>
        <w:ind w:left="0" w:right="0" w:hanging="0"/>
        <w:jc w:val="left"/>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44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4730" w:type="dxa"/>
            <w:tcBorders/>
            <w:vAlign w:val="center"/>
          </w:tcPr>
          <w:p>
            <w:pPr>
              <w:pStyle w:val="TableContents"/>
              <w:bidi w:val="0"/>
              <w:spacing w:before="0" w:after="283"/>
              <w:jc w:val="both"/>
              <w:rPr/>
            </w:pPr>
            <w:r>
              <w:rPr/>
              <w:t>Notice of every general meeting shall be given to:</w:t>
            </w:r>
          </w:p>
        </w:tc>
      </w:tr>
    </w:tbl>
    <w:p>
      <w:pPr>
        <w:pStyle w:val="TextBody"/>
        <w:bidi w:val="0"/>
        <w:spacing w:before="0" w:after="0"/>
        <w:ind w:left="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275"/>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810" w:type="dxa"/>
            <w:tcBorders/>
            <w:vAlign w:val="center"/>
          </w:tcPr>
          <w:p>
            <w:pPr>
              <w:pStyle w:val="TableContents"/>
              <w:bidi w:val="0"/>
              <w:spacing w:before="0" w:after="283"/>
              <w:jc w:val="both"/>
              <w:rPr/>
            </w:pPr>
            <w:r>
              <w:rPr/>
              <w:t>all Members who have supplied to the Company an address for the giving of notices to them;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every person entitled to a share in consequence of the death or bankruptcy of a Member, who but for his death or bankruptcy would be entitled to receive notice of the meeting; and</w:t>
            </w:r>
          </w:p>
        </w:tc>
      </w:tr>
    </w:tbl>
    <w:p>
      <w:pPr>
        <w:pStyle w:val="TextBody"/>
        <w:bidi w:val="0"/>
        <w:spacing w:before="0" w:after="0"/>
        <w:ind w:left="0" w:right="0" w:hanging="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275"/>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470" w:type="dxa"/>
            <w:tcBorders/>
            <w:vAlign w:val="center"/>
          </w:tcPr>
          <w:p>
            <w:pPr>
              <w:pStyle w:val="TableContents"/>
              <w:bidi w:val="0"/>
              <w:spacing w:before="0" w:after="283"/>
              <w:jc w:val="both"/>
              <w:rPr/>
            </w:pPr>
            <w:r>
              <w:rPr/>
              <w:t>each Director and alternate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shall be entitled to receive notices of general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3"/>
        <w:gridCol w:w="9774"/>
      </w:tblGrid>
      <w:tr>
        <w:trPr/>
        <w:tc>
          <w:tcPr>
            <w:tcW w:w="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143.</w:t>
            </w:r>
          </w:p>
        </w:tc>
        <w:tc>
          <w:tcPr>
            <w:tcW w:w="9774" w:type="dxa"/>
            <w:tcBorders/>
            <w:vAlign w:val="center"/>
          </w:tcPr>
          <w:p>
            <w:pPr>
              <w:pStyle w:val="TableContents"/>
              <w:bidi w:val="0"/>
              <w:spacing w:before="0" w:after="283"/>
              <w:jc w:val="both"/>
              <w:rPr/>
            </w:pPr>
            <w:r>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8"/>
        <w:gridCol w:w="9769"/>
      </w:tblGrid>
      <w:tr>
        <w:trPr/>
        <w:tc>
          <w:tcPr>
            <w:tcW w:w="3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144.</w:t>
            </w:r>
          </w:p>
        </w:tc>
        <w:tc>
          <w:tcPr>
            <w:tcW w:w="9769" w:type="dxa"/>
            <w:tcBorders/>
            <w:vAlign w:val="center"/>
          </w:tcPr>
          <w:p>
            <w:pPr>
              <w:pStyle w:val="TableContents"/>
              <w:bidi w:val="0"/>
              <w:spacing w:before="0" w:after="283"/>
              <w:jc w:val="both"/>
              <w:rPr/>
            </w:pPr>
            <w:r>
              <w:rPr/>
              <w:t>The Board shall be entitled to release or disclose any information in its possession, custody or control regarding the Company or its affairs to any of its members including, without limitation, information contained in the Register of Members and transfer books of the Company and as applicable by Statute.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4"/>
        <w:gridCol w:w="9783"/>
      </w:tblGrid>
      <w:tr>
        <w:trPr/>
        <w:tc>
          <w:tcPr>
            <w:tcW w:w="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145.</w:t>
            </w:r>
          </w:p>
        </w:tc>
        <w:tc>
          <w:tcPr>
            <w:tcW w:w="9783" w:type="dxa"/>
            <w:tcBorders/>
            <w:vAlign w:val="center"/>
          </w:tcPr>
          <w:p>
            <w:pPr>
              <w:pStyle w:val="TableContents"/>
              <w:bidi w:val="0"/>
              <w:spacing w:before="0" w:after="283"/>
              <w:jc w:val="both"/>
              <w:rPr/>
            </w:pPr>
            <w:r>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tc>
      </w:tr>
    </w:tbl>
    <w:p>
      <w:pPr>
        <w:pStyle w:val="TextBody"/>
        <w:bidi w:val="0"/>
        <w:spacing w:before="0" w:after="0"/>
        <w:ind w:left="0" w:right="0" w:hanging="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44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146.</w:t>
            </w:r>
          </w:p>
        </w:tc>
        <w:tc>
          <w:tcPr>
            <w:tcW w:w="3650" w:type="dxa"/>
            <w:tcBorders/>
            <w:vAlign w:val="center"/>
          </w:tcPr>
          <w:p>
            <w:pPr>
              <w:pStyle w:val="TableContents"/>
              <w:bidi w:val="0"/>
              <w:spacing w:before="0" w:after="283"/>
              <w:jc w:val="both"/>
              <w:rPr/>
            </w:pPr>
            <w:r>
              <w:rPr/>
              <w:t>No Indemnified Person shall be liable: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(a)</w:t>
            </w:r>
          </w:p>
        </w:tc>
        <w:tc>
          <w:tcPr>
            <w:tcW w:w="9898" w:type="dxa"/>
            <w:tcBorders/>
            <w:vAlign w:val="center"/>
          </w:tcPr>
          <w:p>
            <w:pPr>
              <w:pStyle w:val="TableContents"/>
              <w:bidi w:val="0"/>
              <w:spacing w:before="0" w:after="283"/>
              <w:jc w:val="both"/>
              <w:rPr/>
            </w:pPr>
            <w:r>
              <w:rPr/>
              <w:t>for the acts, receipts, neglects, defaults or omissions of any other Director or officer or agent of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9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175" w:type="dxa"/>
            <w:tcBorders/>
            <w:vAlign w:val="center"/>
          </w:tcPr>
          <w:p>
            <w:pPr>
              <w:pStyle w:val="TableContents"/>
              <w:bidi w:val="0"/>
              <w:spacing w:before="0" w:after="283"/>
              <w:jc w:val="both"/>
              <w:rPr/>
            </w:pPr>
            <w:r>
              <w:rPr/>
              <w:t>for any loss on account of defect of title to any property of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(c)</w:t>
            </w:r>
          </w:p>
        </w:tc>
        <w:tc>
          <w:tcPr>
            <w:tcW w:w="9899" w:type="dxa"/>
            <w:tcBorders/>
            <w:vAlign w:val="center"/>
          </w:tcPr>
          <w:p>
            <w:pPr>
              <w:pStyle w:val="TableContents"/>
              <w:bidi w:val="0"/>
              <w:spacing w:before="0" w:after="283"/>
              <w:jc w:val="both"/>
              <w:rPr/>
            </w:pPr>
            <w:r>
              <w:rPr/>
              <w:t>on account of the insufficiency of any security in or upon which any money of the Company shall be invested; or</w:t>
            </w:r>
          </w:p>
        </w:tc>
      </w:tr>
    </w:tbl>
    <w:p>
      <w:pPr>
        <w:pStyle w:val="TextBody"/>
        <w:bidi w:val="0"/>
        <w:spacing w:before="0" w:after="0"/>
        <w:ind w:left="0" w:right="0" w:hanging="0"/>
        <w:jc w:val="left"/>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9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6935" w:type="dxa"/>
            <w:tcBorders/>
            <w:vAlign w:val="center"/>
          </w:tcPr>
          <w:p>
            <w:pPr>
              <w:pStyle w:val="TableContents"/>
              <w:bidi w:val="0"/>
              <w:spacing w:before="0" w:after="283"/>
              <w:jc w:val="both"/>
              <w:rPr/>
            </w:pPr>
            <w:r>
              <w:rPr/>
              <w:t>for any loss incurred through any bank, broker or other similar Person;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(e)</w:t>
            </w:r>
          </w:p>
        </w:tc>
        <w:tc>
          <w:tcPr>
            <w:tcW w:w="9918" w:type="dxa"/>
            <w:tcBorders/>
            <w:vAlign w:val="center"/>
          </w:tcPr>
          <w:p>
            <w:pPr>
              <w:pStyle w:val="TableContents"/>
              <w:bidi w:val="0"/>
              <w:spacing w:before="0" w:after="283"/>
              <w:jc w:val="both"/>
              <w:rPr/>
            </w:pPr>
            <w:r>
              <w:rPr/>
              <w:t>for any loss occasioned by any negligence, default, breach of duty, breach of trust, error of judgement or oversight on such Indemnified Person’s part;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(f)</w:t>
            </w:r>
          </w:p>
        </w:tc>
        <w:tc>
          <w:tcPr>
            <w:tcW w:w="9963" w:type="dxa"/>
            <w:tcBorders/>
            <w:vAlign w:val="center"/>
          </w:tcPr>
          <w:p>
            <w:pPr>
              <w:pStyle w:val="TableContents"/>
              <w:bidi w:val="0"/>
              <w:spacing w:before="0" w:after="283"/>
              <w:jc w:val="both"/>
              <w:rPr/>
            </w:pPr>
            <w:r>
              <w:rPr/>
              <w:t>for any loss, damage or misfortune whatsoever which may happen in or arise from the execution or discharge of the duties, powers, authorities, or discretions of such Indemnified Person’s office or in relation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same shall happen through such Indemnified Person’s own dishonesty, willful default or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6"/>
        <w:gridCol w:w="9751"/>
      </w:tblGrid>
      <w:tr>
        <w:trPr/>
        <w:tc>
          <w:tcPr>
            <w:tcW w:w="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147.</w:t>
            </w:r>
          </w:p>
        </w:tc>
        <w:tc>
          <w:tcPr>
            <w:tcW w:w="9751" w:type="dxa"/>
            <w:tcBorders/>
            <w:vAlign w:val="center"/>
          </w:tcPr>
          <w:p>
            <w:pPr>
              <w:pStyle w:val="TableContents"/>
              <w:bidi w:val="0"/>
              <w:spacing w:before="0" w:after="283"/>
              <w:jc w:val="both"/>
              <w:rPr/>
            </w:pPr>
            <w:r>
              <w:rPr/>
              <w:t>Unless the Directors otherwise prescribe, the financial year of the Company shall end on December 31st in each year and shall begin on January 1st in each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6"/>
        <w:gridCol w:w="9781"/>
      </w:tblGrid>
      <w:tr>
        <w:trPr/>
        <w:tc>
          <w:tcPr>
            <w:tcW w:w="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148.</w:t>
            </w:r>
          </w:p>
        </w:tc>
        <w:tc>
          <w:tcPr>
            <w:tcW w:w="9781" w:type="dxa"/>
            <w:tcBorders/>
            <w:vAlign w:val="center"/>
          </w:tcPr>
          <w:p>
            <w:pPr>
              <w:pStyle w:val="TableContents"/>
              <w:bidi w:val="0"/>
              <w:spacing w:before="0" w:after="283"/>
              <w:jc w:val="both"/>
              <w:rPr/>
            </w:pPr>
            <w:r>
              <w:rPr/>
              <w:t>Subject to these Articles, if the Company shall be wound up the liquidator may, with the sanction of a Special Resolution of the Company,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5"/>
        <w:gridCol w:w="9782"/>
      </w:tblGrid>
      <w:tr>
        <w:trPr/>
        <w:tc>
          <w:tcPr>
            <w:tcW w:w="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149.</w:t>
            </w:r>
          </w:p>
        </w:tc>
        <w:tc>
          <w:tcPr>
            <w:tcW w:w="9782" w:type="dxa"/>
            <w:tcBorders/>
            <w:vAlign w:val="center"/>
          </w:tcPr>
          <w:p>
            <w:pPr>
              <w:pStyle w:val="TableContents"/>
              <w:bidi w:val="0"/>
              <w:spacing w:before="0" w:after="283"/>
              <w:jc w:val="both"/>
              <w:rPr/>
            </w:pPr>
            <w:r>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MEMORANDUM AND ARTICLES OF ASSOCIATION AND NAME OF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3"/>
        <w:gridCol w:w="9764"/>
      </w:tblGrid>
      <w:tr>
        <w:trPr/>
        <w:tc>
          <w:tcPr>
            <w:tcW w:w="3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pPr>
            <w:r>
              <w:rPr/>
              <w:t>150.</w:t>
            </w:r>
          </w:p>
        </w:tc>
        <w:tc>
          <w:tcPr>
            <w:tcW w:w="9764" w:type="dxa"/>
            <w:tcBorders/>
            <w:vAlign w:val="center"/>
          </w:tcPr>
          <w:p>
            <w:pPr>
              <w:pStyle w:val="TableContents"/>
              <w:bidi w:val="0"/>
              <w:spacing w:before="0" w:after="283"/>
              <w:jc w:val="both"/>
              <w:rPr/>
            </w:pPr>
            <w:r>
              <w:rPr/>
              <w:t>Subject to Article 9(d), the Company may at any time and from time to time by Special Resolution alter or amend these Articles or the Memorandum of Association of the Company, in whole or in part, or change the name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BY WAY OF CONTINUATION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8"/>
        <w:gridCol w:w="9779"/>
      </w:tblGrid>
      <w:tr>
        <w:trPr/>
        <w:tc>
          <w:tcPr>
            <w:tcW w:w="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151.</w:t>
            </w:r>
          </w:p>
        </w:tc>
        <w:tc>
          <w:tcPr>
            <w:tcW w:w="9779" w:type="dxa"/>
            <w:tcBorders/>
            <w:vAlign w:val="center"/>
          </w:tcPr>
          <w:p>
            <w:pPr>
              <w:pStyle w:val="TableContents"/>
              <w:bidi w:val="0"/>
              <w:spacing w:before="0" w:after="283"/>
              <w:jc w:val="both"/>
              <w:rPr/>
            </w:pPr>
            <w:r>
              <w:rPr/>
              <w:t>Subject to Article 9(d), the Company may by Ordinary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4"/>
        <w:gridCol w:w="9773"/>
      </w:tblGrid>
      <w:tr>
        <w:trPr/>
        <w:tc>
          <w:tcPr>
            <w:tcW w:w="3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152.</w:t>
            </w:r>
          </w:p>
        </w:tc>
        <w:tc>
          <w:tcPr>
            <w:tcW w:w="9773" w:type="dxa"/>
            <w:tcBorders/>
            <w:vAlign w:val="center"/>
          </w:tcPr>
          <w:p>
            <w:pPr>
              <w:pStyle w:val="TableContents"/>
              <w:bidi w:val="0"/>
              <w:spacing w:before="0" w:after="283"/>
              <w:jc w:val="both"/>
              <w:rPr/>
            </w:pPr>
            <w:r>
              <w:rPr/>
              <w:t>The Directors, or any service providers (including the officers, the Secretary and the registered office agent of the Company) specifically authorised by the Directors, shall be entitled to disclose to any regulatory or judicial authority any information regarding the affairs of the Company including without limitation information contained in the Register and books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29767</Words>
  <Characters>149975</Characters>
  <CharactersWithSpaces>180692</CharactersWithSpaces>
  <Paragraphs>4663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