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599d1_6k.htm"/>
      <w:bookmarkStart w:id="1" w:name="kstm2611599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001-38261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Kaixin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Complex Building Room 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Dong Quan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Zhejiang Ordinary Smile Auto Sales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2, 2025, Kaixin Holdings (“Kaixin” or “the Company”) entered into a securities purchase agreement with Zhejiang Kaixin Auto Co., Ltd. (the “Purchaser”), the sole shareholder (the “Seller”) of the Target Company and Escrow Agent, pursuant to which the Purchaser agreed to acquire the Sale Shares in Zhejiang Ordinary Smile Auto Sales Co., Ltd. (the “Target Company”). In return, the Company agreed to issue up to an aggregate of 15 million newly issued Class A ordinary shares to the Seller as consideration. Capitalized terms used and not defined herein shall have the meanings set forth in the Form 6-K of the Company filed with the Securities Exchange Commission on December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effected a 1-for-15 share consolidation of its issued and unissued Class A and Class B ordinary shares, which was approved by the Company’s shareholders at the annual general meeting of the Company on February 22, 2026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the Company will issue an additional 14 million newly issued Class A ordinary shares to the Seller, which shall be held in escrow and be released subject to the five-year-performance targets as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Purchase Agreement and does not purport to be a complete description of the rights and obligations of the parties thereunder. Such description is qualified in its entirety by reference to the full text of the Purchase Agreement, a copy of which is filed as Exhibit 99.1 to the Form 6-K of the Company filed with the Securities Exchange Commission on December 2, 2025 and is incorporated herein by reference. This content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and any exhibits hereto shall be deemed to be incorporated by reference into the registration statements on Form F-3 (File No. 333-272954) and Form S-8 (File No. 333-291281) of the registrant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Except as otherwise required by law, the Company undertakes no obligation to publicly release any revisions to these forward-looking statements to reflect events or circumstances after the date hereof or to reflect the occurrence of unanticipated events. More detailed information about the risks and uncertainties affecting the Company is contained under the heading “Risk Factors” in the Company’ annual report on Form 20-F for the fiscal year ended December 31, 2024 filed with the Securities and Exchange Commission, or SEC, which is available on the SEC’s website, www.sec.gov, and in subsequent filings made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700"/>
        <w:gridCol w:w="590"/>
        <w:gridCol w:w="1895"/>
      </w:tblGrid>
      <w:tr>
        <w:trPr/>
        <w:tc>
          <w:tcPr>
            <w:tcW w:w="170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Kaixin Holdings</w:t>
            </w:r>
          </w:p>
        </w:tc>
      </w:tr>
      <w:tr>
        <w:trPr/>
        <w:tc>
          <w:tcPr>
            <w:tcW w:w="170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5856" w:right="0" w:hanging="0"/>
        <w:jc w:val="left"/>
        <w:rPr>
          <w:caps w:val="false"/>
          <w:smallCaps w:val="false"/>
        </w:rPr>
      </w:pPr>
      <w:r>
        <w:rPr>
          <w:caps w:val="false"/>
          <w:smallCaps w:val="false"/>
        </w:rPr>
        <w:t> </w:t>
      </w:r>
    </w:p>
    <w:p>
      <w:pPr>
        <w:pStyle w:val="TextBody"/>
        <w:bidi w:val="0"/>
        <w:spacing w:before="0" w:after="0"/>
        <w:ind w:left="5856"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800</Words>
  <Characters>4272</Characters>
  <CharactersWithSpaces>5077</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