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December 15,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Kaixin Holdings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spacing w:after="0"/>
              <w:rPr>
                <w:sz w:val="19"/>
                <w:szCs w:val="19"/>
                <w:color w:val="auto"/>
              </w:rPr>
            </w:pPr>
          </w:p>
        </w:tc>
        <w:tc>
          <w:tcPr>
            <w:tcW w:w="7360" w:type="dxa"/>
            <w:vAlign w:val="bottom"/>
            <w:gridSpan w:val="3"/>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3880" w:type="dxa"/>
            <w:vAlign w:val="bottom"/>
          </w:tcPr>
          <w:p>
            <w:pPr>
              <w:spacing w:after="0"/>
              <w:rPr>
                <w:sz w:val="20"/>
                <w:szCs w:val="20"/>
                <w:color w:val="auto"/>
              </w:rPr>
            </w:pPr>
          </w:p>
        </w:tc>
        <w:tc>
          <w:tcPr>
            <w:tcW w:w="7360" w:type="dxa"/>
            <w:vAlign w:val="bottom"/>
            <w:gridSpan w:val="3"/>
          </w:tcPr>
          <w:p>
            <w:pPr>
              <w:jc w:val="center"/>
              <w:ind w:right="37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r>
      <w:tr>
        <w:trPr>
          <w:trHeight w:val="432"/>
        </w:trPr>
        <w:tc>
          <w:tcPr>
            <w:tcW w:w="3880" w:type="dxa"/>
            <w:vAlign w:val="bottom"/>
            <w:tcBorders>
              <w:bottom w:val="single" w:sz="8" w:color="auto"/>
            </w:tcBorders>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1"/>
        </w:trPr>
        <w:tc>
          <w:tcPr>
            <w:tcW w:w="3880" w:type="dxa"/>
            <w:vAlign w:val="bottom"/>
          </w:tcPr>
          <w:p>
            <w:pPr>
              <w:jc w:val="center"/>
              <w:ind w:left="1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Complex Building Room 211, 18 Dong Quan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Luoyang Town, Taishun County,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Wenzhou, Zhejiang Province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Global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715 Todville Road, Unit 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Seabrook, Texas 77586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(281) 316-5869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 Wang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 Kun Law Offices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Rooms 4301-10, 43/F., Gloucester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Landmark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Queen's Road Central, Hong Kong</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+852 6386 1503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the registration statement.</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1"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40"/>
          </w:cols>
          <w:pgMar w:left="320" w:top="468" w:right="339" w:bottom="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Pursuant to the provisions of Rule 429 under the Securities Act, the prospectus contained in this registration statement also relates to the Company’s registration statements on Form F-3 (File No. 333-272954). Upon effectiveness, this registration statement will also act as a post-effective amendment to such earlier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Kaixin Holdings is filing this Amendment No. 1 (this “Amendment No.1”) to its registration statement on Form F-3 (File No. 333-291748) originally filed on November 24, 2025, or the Registration Statement, as an exhibit-only filing solely to file the form of indenture as Exhibit 4.10. Accordingly, this Amendment No. 1 consists solely of the facing page, this explanatory note, Part II of the Registration Statement, the signature page to the Registration Statement, the exhibit index and the filed Exhibit 4.10. The prospectus contained in Part I of the Registration Statement is unchanged and has been omitted from this Amendment No.1.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seventh amended and restated memorandum and articles of association provides that we shall indemnify our officers and directors against all actions, proceedings, costs, charges, expenses, losses, damages, or liabilities incurred or sustained by such directors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an indemnification agreement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spacing w:after="0" w:line="182"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648" w:hanging="324"/>
        <w:spacing w:after="0" w:line="28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61"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w:t>
      </w:r>
    </w:p>
    <w:p>
      <w:pPr>
        <w:jc w:val="both"/>
        <w:ind w:left="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the Form F-3.</w:t>
      </w:r>
    </w:p>
    <w:p>
      <w:pPr>
        <w:spacing w:after="0" w:line="18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ind w:left="968" w:hanging="320"/>
        <w:spacing w:after="0" w:line="282" w:lineRule="auto"/>
        <w:tabs>
          <w:tab w:leader="none" w:pos="96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9"/>
        </w:trPr>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4"/>
                <w:szCs w:val="24"/>
                <w:color w:val="auto"/>
              </w:rPr>
            </w:pPr>
          </w:p>
        </w:tc>
        <w:tc>
          <w:tcPr>
            <w:tcW w:w="95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Placement Agency Agreement</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Registrant’s Specimen Ordinary Share Certificate (incorporated by reference to Exhibit 4.2 to our registration statement on Form S-</w:t>
              </w:r>
            </w:hyperlink>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1 (File No. 333-220510), as amended, initially filed with the SEC on October 18, 2017)</w:t>
              </w:r>
            </w:hyperlink>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Securities Purchase Agreement, dated August 6, 2025, between Kaixin Holdings and Discover Flux Ltd (incorporated by reference</w:t>
              </w:r>
            </w:hyperlink>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to Exhibit 99.3 to our current report on Form 6-K (File No. 001-38261) filed with the SEC on September 12, 2025)</w:t>
              </w:r>
            </w:hyperlink>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Securities Purchase Agreement, dated February 22, 2024, between Kaixin Auto Holdings and Shangyue Limited (incorporated by</w:t>
              </w:r>
            </w:hyperlink>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2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reference to Exhibit 99.1 to our current report on Form 6-K (File No. 001-38261) filed with the SEC on February 29,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Securities Purchase Agreement, dated May 15, 2024, between Kaixin Holdings and AutoA2A, Ltd (incorporated by reference to</w:t>
              </w:r>
            </w:hyperlink>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4.54 to our current report on Form 20-F (File No. 001-38261) filed with the SEC on March 31, 2025)</w:t>
              </w:r>
            </w:hyperlink>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Kaixin Holdings Ordinary Shares Purchase Warrant Agreement, dated May 15, 2024, between Kaixin Holdings and AutoA2A, Ltd</w:t>
              </w:r>
            </w:hyperlink>
          </w:p>
        </w:tc>
      </w:tr>
      <w:tr>
        <w:trPr>
          <w:trHeight w:val="196"/>
        </w:trPr>
        <w:tc>
          <w:tcPr>
            <w:tcW w:w="32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54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(incorporated by reference to Exhibit 4.56 to our current report on Form 20-F (File No. 001-38261) filed with the SEC on March 31,</w:t>
              </w:r>
            </w:hyperlink>
          </w:p>
        </w:tc>
      </w:tr>
      <w:tr>
        <w:trPr>
          <w:trHeight w:val="217"/>
        </w:trPr>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line="196" w:lineRule="exact"/>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2025)</w:t>
              </w:r>
            </w:hyperlink>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Preferred Shares</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5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 and Unit Certificate</w:t>
            </w: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5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120" w:type="dxa"/>
            <w:vAlign w:val="bottom"/>
            <w:shd w:val="clear" w:color="auto" w:fill="CCEEFF"/>
          </w:tcPr>
          <w:p>
            <w:pPr>
              <w:spacing w:after="0"/>
              <w:rPr>
                <w:sz w:val="17"/>
                <w:szCs w:val="17"/>
                <w:color w:val="auto"/>
              </w:rPr>
            </w:pPr>
          </w:p>
        </w:tc>
        <w:tc>
          <w:tcPr>
            <w:tcW w:w="95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16"/>
        </w:trPr>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120" w:type="dxa"/>
            <w:vAlign w:val="bottom"/>
            <w:shd w:val="clear" w:color="auto" w:fill="CCEEFF"/>
          </w:tcPr>
          <w:p>
            <w:pPr>
              <w:spacing w:after="0"/>
              <w:rPr>
                <w:sz w:val="17"/>
                <w:szCs w:val="17"/>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Maples and Calder (Hong Kong) LLP</w:t>
              </w:r>
            </w:hyperlink>
          </w:p>
        </w:tc>
      </w:tr>
      <w:tr>
        <w:trPr>
          <w:trHeight w:val="216"/>
        </w:trPr>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120" w:type="dxa"/>
            <w:vAlign w:val="bottom"/>
            <w:shd w:val="clear" w:color="auto" w:fill="CCEEFF"/>
          </w:tcPr>
          <w:p>
            <w:pPr>
              <w:spacing w:after="0"/>
              <w:rPr>
                <w:sz w:val="17"/>
                <w:szCs w:val="17"/>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Consent of Onestop Assurance PAC</w:t>
              </w:r>
            </w:hyperlink>
          </w:p>
        </w:tc>
      </w:tr>
      <w:tr>
        <w:trPr>
          <w:trHeight w:val="216"/>
        </w:trPr>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120" w:type="dxa"/>
            <w:vAlign w:val="bottom"/>
            <w:shd w:val="clear" w:color="auto" w:fill="CCEEFF"/>
          </w:tcPr>
          <w:p>
            <w:pPr>
              <w:spacing w:after="0"/>
              <w:rPr>
                <w:sz w:val="17"/>
                <w:szCs w:val="17"/>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Consent of Maples and Calder (Hong Kong) LLP (included in Exhibit 5.1)</w:t>
              </w:r>
            </w:hyperlink>
          </w:p>
        </w:tc>
      </w:tr>
      <w:tr>
        <w:trPr>
          <w:trHeight w:val="216"/>
        </w:trPr>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20" w:type="dxa"/>
            <w:vAlign w:val="bottom"/>
            <w:shd w:val="clear" w:color="auto" w:fill="CCEEFF"/>
          </w:tcPr>
          <w:p>
            <w:pPr>
              <w:spacing w:after="0"/>
              <w:rPr>
                <w:sz w:val="17"/>
                <w:szCs w:val="17"/>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Power of Attorney (included on signature page)</w:t>
              </w:r>
            </w:hyperlink>
          </w:p>
        </w:tc>
      </w:tr>
      <w:tr>
        <w:trPr>
          <w:trHeight w:val="216"/>
        </w:trPr>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58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107†</w:t>
              </w:r>
            </w:hyperlink>
          </w:p>
        </w:tc>
        <w:tc>
          <w:tcPr>
            <w:tcW w:w="120" w:type="dxa"/>
            <w:vAlign w:val="bottom"/>
            <w:shd w:val="clear" w:color="auto" w:fill="CCEEFF"/>
          </w:tcPr>
          <w:p>
            <w:pPr>
              <w:spacing w:after="0"/>
              <w:rPr>
                <w:sz w:val="15"/>
                <w:szCs w:val="15"/>
                <w:color w:val="auto"/>
              </w:rPr>
            </w:pPr>
          </w:p>
        </w:tc>
        <w:tc>
          <w:tcPr>
            <w:tcW w:w="95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Filing Fee Table</w:t>
              </w:r>
            </w:hyperlink>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as an exhibit to a report filed pursuant to Section 13(a) or 15(d) of the Securities Exchange Act of 1934, as amended, and incorporated herein by reference.</w:t>
      </w:r>
    </w:p>
    <w:p>
      <w:pPr>
        <w:spacing w:after="0" w:line="162"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December 15,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Kaixin Holdings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Yi Yang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December 15, 2025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43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Mingjun Lin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Mingjun Lin</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1"/>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Yi Yang</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Yi Yang</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421"/>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Xiaolei Gu</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Xiaolei Gu</w:t>
            </w:r>
          </w:p>
        </w:tc>
        <w:tc>
          <w:tcPr>
            <w:tcW w:w="2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Deqiang Chen</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Deqiang Chen</w:t>
            </w:r>
          </w:p>
        </w:tc>
        <w:tc>
          <w:tcPr>
            <w:tcW w:w="2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Xiaoning Wu</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Xiaoning Wu</w:t>
            </w:r>
          </w:p>
        </w:tc>
        <w:tc>
          <w:tcPr>
            <w:tcW w:w="2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America of Kaixin Auto Holdings, has signed this registration statement thereto in New York, NY on December 15,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Registrants Global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Anne Jackson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on behalf of Registrants Global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KAIXIN HOLDINGS,</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866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1120" w:type="dxa"/>
            <w:vAlign w:val="bottom"/>
          </w:tcPr>
          <w:p>
            <w:pPr>
              <w:spacing w:after="0"/>
              <w:rPr>
                <w:sz w:val="20"/>
                <w:szCs w:val="20"/>
                <w:color w:val="auto"/>
              </w:rPr>
            </w:pPr>
          </w:p>
        </w:tc>
      </w:tr>
      <w:tr>
        <w:trPr>
          <w:trHeight w:val="432"/>
        </w:trPr>
        <w:tc>
          <w:tcPr>
            <w:tcW w:w="1460" w:type="dxa"/>
            <w:vAlign w:val="bottom"/>
            <w:tcBorders>
              <w:bottom w:val="single" w:sz="8" w:color="CCEEFF"/>
            </w:tcBorders>
          </w:tcPr>
          <w:p>
            <w:pPr>
              <w:spacing w:after="0"/>
              <w:rPr>
                <w:sz w:val="24"/>
                <w:szCs w:val="24"/>
                <w:color w:val="auto"/>
              </w:rPr>
            </w:pPr>
          </w:p>
        </w:tc>
        <w:tc>
          <w:tcPr>
            <w:tcW w:w="86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209"/>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of Terms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Temporary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2.09</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Authenticating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Global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CUSIP Numbers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Redemption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Upon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Sinking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4.03</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Paying Agents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4.04</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continued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209"/>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by the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Reports by the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6.04</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Suits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6.05</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6.06</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6.07</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Hold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7.05</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Moneys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7.06</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7.07</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7.08</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7.09</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7.11</w:t>
            </w: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7.12</w:t>
            </w: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continued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7.13</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7.14</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Default.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8.04</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8.05</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11.01</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11.02</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11.03</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11.04</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11.05</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to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12.01</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Recourse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13.01</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13.02</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Actions by Successor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13.03</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13.04</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13.05</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Governing Law; Jury Trial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13.06</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13.07</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13.08</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13.09</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13.10</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13.11</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Separability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13.12</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Certificates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13.13</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Patriot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13.14</w:t>
            </w:r>
          </w:p>
        </w:tc>
        <w:tc>
          <w:tcPr>
            <w:tcW w:w="8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Force Majeure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13.15</w:t>
            </w:r>
          </w:p>
        </w:tc>
        <w:tc>
          <w:tcPr>
            <w:tcW w:w="8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ndenture</w:t>
      </w:r>
      <w:r>
        <w:rPr>
          <w:rFonts w:ascii="Times New Roman" w:cs="Times New Roman" w:eastAsia="Times New Roman" w:hAnsi="Times New Roman"/>
          <w:sz w:val="18"/>
          <w:szCs w:val="18"/>
          <w:color w:val="auto"/>
        </w:rPr>
        <w:t>, dated as of [●], 20__, among Kaixin Holdings, a Cayman Islands exempted company incorporated under the laws of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(the “Company”),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color w:val="auto"/>
        </w:rPr>
        <w:t>], as trustee (the “Trustee”):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 for the equal and ratable benefit of the holders of Securities: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Cayman Islands,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Kaixin Holdings, a Cayman Islands exempted company incorporated under the laws of the Cayman Islands, and, subject to the provisions of Article Ten, shall also include its successors and assigns.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 chief strategy officer, a chief technology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5580" w:right="2140" w:hanging="5572"/>
        <w:spacing w:after="0" w:line="761" w:lineRule="auto"/>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_________________________, and, subject to the provisions of Article Seven, shall also include its successors and assigns, and,</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2001, Pub. L. 107-56, as amended and signed into law October 26, 2001.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5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or dates on which the principal of the Securities of the series is payable;</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225"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of any subordination;</w:t>
      </w:r>
    </w:p>
    <w:p>
      <w:pPr>
        <w:spacing w:after="0" w:line="206"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9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12"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b w:val="1"/>
          <w:bCs w:val="1"/>
          <w:color w:val="auto"/>
        </w:rPr>
      </w:pPr>
    </w:p>
    <w:p>
      <w:pPr>
        <w:ind w:left="2340" w:hanging="388"/>
        <w:spacing w:after="0"/>
        <w:tabs>
          <w:tab w:leader="none" w:pos="23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1952"/>
        <w:spacing w:after="0" w:line="266" w:lineRule="auto"/>
        <w:tabs>
          <w:tab w:leader="none" w:pos="235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34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3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34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30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28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3"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8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0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161"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28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1"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8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161" w:lineRule="exact"/>
        <w:rPr>
          <w:rFonts w:ascii="Times New Roman" w:cs="Times New Roman" w:eastAsia="Times New Roman" w:hAnsi="Times New Roman"/>
          <w:sz w:val="18"/>
          <w:szCs w:val="18"/>
          <w:b w:val="1"/>
          <w:bCs w:val="1"/>
          <w:color w:val="auto"/>
        </w:rPr>
      </w:pPr>
    </w:p>
    <w:p>
      <w:pPr>
        <w:ind w:left="2320" w:hanging="368"/>
        <w:spacing w:after="0"/>
        <w:tabs>
          <w:tab w:leader="none" w:pos="2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dollars;</w:t>
      </w:r>
    </w:p>
    <w:p>
      <w:pPr>
        <w:spacing w:after="0" w:line="206"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30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7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b w:val="1"/>
          <w:bCs w:val="1"/>
          <w:color w:val="auto"/>
        </w:rPr>
      </w:pPr>
    </w:p>
    <w:p>
      <w:pPr>
        <w:ind w:left="2300" w:hanging="348"/>
        <w:spacing w:after="0"/>
        <w:tabs>
          <w:tab w:leader="none" w:pos="2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31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952"/>
        <w:spacing w:after="0" w:line="253" w:lineRule="auto"/>
        <w:tabs>
          <w:tab w:leader="none" w:pos="219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952"/>
        <w:spacing w:after="0" w:line="261" w:lineRule="auto"/>
        <w:tabs>
          <w:tab w:leader="none" w:pos="221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6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304"/>
        <w:spacing w:after="0" w:line="258" w:lineRule="auto"/>
        <w:tabs>
          <w:tab w:leader="none" w:pos="156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as Security Registrar for each series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1304"/>
        <w:spacing w:after="0" w:line="258" w:lineRule="auto"/>
        <w:tabs>
          <w:tab w:leader="none" w:pos="1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2.08 Cancellation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55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color w:val="auto"/>
        </w:rPr>
        <w:t>Section 2.12 CUSIP Numbers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3.01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5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1304"/>
        <w:spacing w:after="0" w:line="253" w:lineRule="auto"/>
        <w:tabs>
          <w:tab w:leader="none" w:pos="157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6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3.04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4.03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5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99"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99"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6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1304"/>
        <w:spacing w:after="0" w:line="256" w:lineRule="auto"/>
        <w:tabs>
          <w:tab w:leader="none" w:pos="1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6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5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55" w:lineRule="auto"/>
        <w:tabs>
          <w:tab w:leader="none" w:pos="158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6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6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6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9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19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19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52"/>
        <w:spacing w:after="0" w:line="266" w:lineRule="auto"/>
        <w:tabs>
          <w:tab w:leader="none" w:pos="219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19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1304"/>
        <w:spacing w:after="0" w:line="258" w:lineRule="auto"/>
        <w:tabs>
          <w:tab w:leader="none" w:pos="157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6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5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7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5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6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5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firstLine="1304"/>
        <w:spacing w:after="0" w:line="282" w:lineRule="auto"/>
        <w:tabs>
          <w:tab w:leader="none" w:pos="15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252"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256"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8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2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9"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rFonts w:ascii="Times New Roman" w:cs="Times New Roman" w:eastAsia="Times New Roman" w:hAnsi="Times New Roman"/>
          <w:sz w:val="18"/>
          <w:szCs w:val="18"/>
          <w:b w:val="1"/>
          <w:bCs w:val="1"/>
          <w:color w:val="auto"/>
        </w:rPr>
      </w:pPr>
    </w:p>
    <w:p>
      <w:pPr>
        <w:ind w:left="1600" w:hanging="296"/>
        <w:spacing w:after="0"/>
        <w:tabs>
          <w:tab w:leader="none" w:pos="16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225"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Trustee shall have any duty or responsibility for any act or omission of any other Trustee appointed with respect to a series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1304"/>
        <w:spacing w:after="0" w:line="266" w:lineRule="auto"/>
        <w:tabs>
          <w:tab w:leader="none" w:pos="157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6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3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9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3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1304"/>
        <w:spacing w:after="0" w:line="266" w:lineRule="auto"/>
        <w:tabs>
          <w:tab w:leader="none" w:pos="174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1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79"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65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1304"/>
        <w:spacing w:after="0" w:line="282" w:lineRule="auto"/>
        <w:tabs>
          <w:tab w:leader="none" w:pos="155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7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4" w:lineRule="auto"/>
        <w:tabs>
          <w:tab w:leader="none" w:pos="155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15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209"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952"/>
        <w:spacing w:after="0" w:line="266" w:lineRule="auto"/>
        <w:tabs>
          <w:tab w:leader="none" w:pos="228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jc w:val="both"/>
        <w:ind w:firstLine="1304"/>
        <w:spacing w:after="0" w:line="266" w:lineRule="auto"/>
        <w:tabs>
          <w:tab w:leader="none" w:pos="155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55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7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2" w:lineRule="exact"/>
        <w:rPr>
          <w:sz w:val="20"/>
          <w:szCs w:val="20"/>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1560" w:hanging="256"/>
        <w:spacing w:after="0"/>
        <w:tabs>
          <w:tab w:leader="none" w:pos="15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1"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56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o add to the covenants, restrictions, conditions or provisions relating to the Company for the benefit of the holders of all or any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5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b w:val="1"/>
          <w:bCs w:val="1"/>
          <w:color w:val="auto"/>
        </w:rPr>
      </w:pPr>
    </w:p>
    <w:p>
      <w:pPr>
        <w:ind w:left="1520" w:hanging="216"/>
        <w:spacing w:after="0"/>
        <w:tabs>
          <w:tab w:leader="none" w:pos="1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Trust Indenture Act.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5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12.01 No Recourse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13.04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___________________________________________. Any notice,</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5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6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13.10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13.11 Separability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13.13 U.S.A Patriot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13.14 Force Majeure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hereto have caused this Indenture to be duly executed all as of the day and year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aixin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40"/>
          </w:cols>
          <w:pgMar w:left="980" w:top="900" w:right="13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CROSS-REFERENCE TABLE (1)</w:t>
            </w:r>
          </w:p>
        </w:tc>
        <w:tc>
          <w:tcPr>
            <w:tcW w:w="2240" w:type="dxa"/>
            <w:vAlign w:val="bottom"/>
          </w:tcPr>
          <w:p>
            <w:pPr>
              <w:spacing w:after="0"/>
              <w:rPr>
                <w:sz w:val="20"/>
                <w:szCs w:val="20"/>
                <w:color w:val="auto"/>
              </w:rPr>
            </w:pPr>
          </w:p>
        </w:tc>
      </w:tr>
      <w:tr>
        <w:trPr>
          <w:trHeight w:val="44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209"/>
        </w:trPr>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310(b)</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310(c)</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311(b)</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312(b)</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313(c)</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314(c)</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315(b)</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315(d)</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8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316(b)</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179" w:lineRule="exact"/>
        <w:rPr>
          <w:sz w:val="20"/>
          <w:szCs w:val="20"/>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2CA8861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6">
    <w:nsid w:val="836C40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Roman"/>
      <w:start w:val="1"/>
    </w:lvl>
  </w:abstractNum>
  <w:abstractNum w:abstractNumId="10">
    <w:nsid w:val="1E7FF521"/>
    <w:multiLevelType w:val="hybridMultilevel"/>
    <w:lvl w:ilvl="0">
      <w:lvlJc w:val="left"/>
      <w:lvlText w:val="(%1)"/>
      <w:numFmt w:val="lowerLetter"/>
      <w:start w:val="1"/>
    </w:lvl>
    <w:lvl w:ilvl="1">
      <w:lvlJc w:val="left"/>
      <w:lvlText w:val="(%2)"/>
      <w:numFmt w:val="decimal"/>
      <w:start w:val="1"/>
    </w:lvl>
  </w:abstractNum>
  <w:abstractNum w:abstractNumId="11">
    <w:nsid w:val="7C3DBD3D"/>
    <w:multiLevelType w:val="hybridMultilevel"/>
    <w:lvl w:ilvl="0">
      <w:lvlJc w:val="left"/>
      <w:lvlText w:val="(%1)"/>
      <w:numFmt w:val="decimal"/>
      <w:start w:val="1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lowerLetter"/>
      <w:start w:val="3"/>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lowerLetter"/>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lvl w:ilvl="1">
      <w:lvlJc w:val="left"/>
      <w:lvlText w:val="(%2)"/>
      <w:numFmt w:val="decimal"/>
      <w:start w:val="1"/>
    </w:lvl>
  </w:abstractNum>
  <w:abstractNum w:abstractNumId="22">
    <w:nsid w:val="3804823E"/>
    <w:multiLevelType w:val="hybridMultilevel"/>
    <w:lvl w:ilvl="0">
      <w:lvlJc w:val="left"/>
      <w:lvlText w:val="(%1)"/>
      <w:numFmt w:val="lowerLetter"/>
      <w:start w:val="3"/>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lvl w:ilvl="1">
      <w:lvlJc w:val="left"/>
      <w:lvlText w:val="(%2)"/>
      <w:numFmt w:val="decimal"/>
      <w:start w:val="1"/>
    </w:lvl>
  </w:abstractNum>
  <w:abstractNum w:abstractNumId="28">
    <w:nsid w:val="51EAD36B"/>
    <w:multiLevelType w:val="hybridMultilevel"/>
    <w:lvl w:ilvl="0">
      <w:lvlJc w:val="left"/>
      <w:lvlText w:val="%1"/>
      <w:numFmt w:val="lowerLetter"/>
      <w:start w:val="1"/>
    </w:lvl>
    <w:lvl w:ilvl="1">
      <w:lvlJc w:val="left"/>
      <w:lvlText w:val="(%2)"/>
      <w:numFmt w:val="decimal"/>
      <w:start w:val="4"/>
    </w:lvl>
  </w:abstractNum>
  <w:abstractNum w:abstractNumId="29">
    <w:nsid w:val="2D517796"/>
    <w:multiLevelType w:val="hybridMultilevel"/>
    <w:lvl w:ilvl="0">
      <w:lvlJc w:val="left"/>
      <w:lvlText w:val="(%1)"/>
      <w:numFmt w:val="lowerLetter"/>
      <w:start w:val="2"/>
    </w:lvl>
    <w:lvl w:ilvl="1">
      <w:lvlJc w:val="left"/>
      <w:lvlText w:val="%2"/>
      <w:numFmt w:val="decimal"/>
      <w:start w:val="1"/>
    </w:lvl>
  </w:abstractNum>
  <w:abstractNum w:abstractNumId="30">
    <w:nsid w:val="580BD78F"/>
    <w:multiLevelType w:val="hybridMultilevel"/>
    <w:lvl w:ilvl="0">
      <w:lvlJc w:val="left"/>
      <w:lvlText w:val="(%1)"/>
      <w:numFmt w:val="lowerLetter"/>
      <w:start w:val="4"/>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Roman"/>
      <w:start w:val="1"/>
    </w:lvl>
    <w:lvl w:ilvl="1">
      <w:lvlJc w:val="left"/>
      <w:lvlText w:val="(%2)"/>
      <w:numFmt w:val="upp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lowerLetter"/>
      <w:start w:val="1"/>
    </w:lvl>
    <w:lvl w:ilvl="1">
      <w:lvlJc w:val="left"/>
      <w:lvlText w:val="(%2)"/>
      <w:numFmt w:val="lowerRoman"/>
      <w:start w:val="1"/>
    </w:lvl>
  </w:abstractNum>
  <w:abstractNum w:abstractNumId="41">
    <w:nsid w:val="4B588F54"/>
    <w:multiLevelType w:val="hybridMultilevel"/>
    <w:lvl w:ilvl="0">
      <w:lvlJc w:val="left"/>
      <w:lvlText w:val="(%1)"/>
      <w:numFmt w:val="lowerRoman"/>
      <w:start w:val="3"/>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16" Type="http://schemas.openxmlformats.org/officeDocument/2006/relationships/hyperlink" Target="http://www.sec.gov/Archives/edgar/data/1713539/000161577417005781/s107743_ex4-2.htm" TargetMode="External"/><Relationship Id="rId17" Type="http://schemas.openxmlformats.org/officeDocument/2006/relationships/hyperlink" Target="http://www.sec.gov/Archives/edgar/data/1713539/000110465925089526/tm2525967d1_ex99-3.htm" TargetMode="External"/><Relationship Id="rId18" Type="http://schemas.openxmlformats.org/officeDocument/2006/relationships/hyperlink" Target="http://www.sec.gov/Archives/edgar/data/1713539/000110465924029351/tm247612d1_ex99-1.htm" TargetMode="External"/><Relationship Id="rId19" Type="http://schemas.openxmlformats.org/officeDocument/2006/relationships/hyperlink" Target="http://www.sec.gov/Archives/edgar/data/1713539/000141057825000574/kxin-20241231xex4d54.htm" TargetMode="External"/><Relationship Id="rId20" Type="http://schemas.openxmlformats.org/officeDocument/2006/relationships/hyperlink" Target="http://www.sec.gov/Archives/edgar/data/1713539/000141057825000574/kxin-20241231xex4d56.htm" TargetMode="External"/><Relationship Id="rId21" Type="http://schemas.openxmlformats.org/officeDocument/2006/relationships/hyperlink" Target="http://www.sec.gov/Archives/edgar/data/1713539/000110465925115398/tm2532022d1_ex5-1.htm" TargetMode="External"/><Relationship Id="rId22" Type="http://schemas.openxmlformats.org/officeDocument/2006/relationships/hyperlink" Target="http://www.sec.gov/Archives/edgar/data/1713539/000110465925115398/tm2532022d1_ex23-1.htm" TargetMode="External"/><Relationship Id="rId23" Type="http://schemas.openxmlformats.org/officeDocument/2006/relationships/hyperlink" Target="http://www.sec.gov/Archives/edgar/data/1713539/000110465925115398/tm2532022d1_f3.htm#sig_001" TargetMode="External"/><Relationship Id="rId24" Type="http://schemas.openxmlformats.org/officeDocument/2006/relationships/hyperlink" Target="http://www.sec.gov/Archives/edgar/data/1713539/000110465925115398/tm2532022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2025-12-15T19:39:36Z</dcterms:created>
  <dcterms:modified xsi:type="dcterms:W3CDTF">2025-12-15T19:39:36Z</dcterms:modified>
</cp:coreProperties>
</file>