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8055d1_f3a.htm"/>
      <w:bookmarkStart w:id="1" w:name="kstm2618055d1_f3a"/>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filed with the U.S. Securities and Exchange Commission on June 17,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333-291748</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Kaixin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Complex Building Room 211, 18 Dong Quan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Luoyang Town, Taishun County,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Wenzhou, Zhejiang Province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Global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 Todville Road, Unit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Seabrook, Texas 77586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(281) 316-5869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Yu Wang</w:t>
        <w:br/>
        <w:t>Han Kun Law Offices LLP</w:t>
        <w:br/>
        <w:t>Rooms 4301-10, 43/F., Gloucester Tower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Landmark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Queen’s Road Central, Hong Kong</w:t>
        <w:br/>
        <w:t>+852 6386 1503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I.C.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the provisions of Rule 429 under the Securities Act, the prospectus contained in this registration statement also relates to the Company’s registration statements on Form F-3 (File No. 333-272954). Upon effectiveness, this registration statement will also act as a post-effective amendment to such earlier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filing a single prospectus in this registration statement pursuant to Rule 429 under the Securities Act of 1933, as amended (the “Securities Act”). Pursuant to Rule 429 under the Securities Act, the prospectus included herein is a combined prospectus which relates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
        <w:gridCol w:w="209"/>
        <w:gridCol w:w="9912"/>
      </w:tblGrid>
      <w:tr>
        <w:trPr/>
        <w:tc>
          <w:tcPr>
            <w:tcW w:w="84" w:type="dxa"/>
            <w:tcBorders/>
            <w:vAlign w:val="center"/>
          </w:tcPr>
          <w:p>
            <w:pPr>
              <w:pStyle w:val="TableContents"/>
              <w:bidi w:val="0"/>
              <w:spacing w:before="0" w:after="283"/>
              <w:jc w:val="left"/>
              <w:rPr/>
            </w:pPr>
            <w:r>
              <w:rPr/>
              <w:t xml:space="preserve">  </w:t>
            </w:r>
          </w:p>
        </w:tc>
        <w:tc>
          <w:tcPr>
            <w:tcW w:w="209" w:type="dxa"/>
            <w:tcBorders/>
            <w:vAlign w:val="center"/>
          </w:tcPr>
          <w:p>
            <w:pPr>
              <w:pStyle w:val="TableContents"/>
              <w:bidi w:val="0"/>
              <w:spacing w:before="0" w:after="283"/>
              <w:jc w:val="left"/>
              <w:rPr/>
            </w:pPr>
            <w:r>
              <w:rPr>
                <w:rFonts w:ascii="Times New Roman;Times;Serif" w:hAnsi="Times New Roman;Times;Serif"/>
                <w:sz w:val="20"/>
              </w:rPr>
              <w:t>(i)</w:t>
            </w:r>
            <w:r>
              <w:rPr/>
              <w:t xml:space="preserve"> </w:t>
            </w:r>
          </w:p>
        </w:tc>
        <w:tc>
          <w:tcPr>
            <w:tcW w:w="9912" w:type="dxa"/>
            <w:tcBorders/>
            <w:vAlign w:val="center"/>
          </w:tcPr>
          <w:p>
            <w:pPr>
              <w:pStyle w:val="TableContents"/>
              <w:bidi w:val="0"/>
              <w:spacing w:before="0" w:after="283"/>
              <w:jc w:val="both"/>
              <w:rPr/>
            </w:pPr>
            <w:r>
              <w:rPr>
                <w:rFonts w:ascii="Times New Roman;Times;Serif" w:hAnsi="Times New Roman;Times;Serif"/>
                <w:sz w:val="20"/>
              </w:rPr>
              <w:t>the offering and sale of up to an aggregate of US$296,000,000 of, together or separately, our class A ordinary shares with a par value of US$20.25 per share (“Ordinary Shares”), preferred shares, debt securities, warrants, rights, and units, or any combination, which are currently registered and remain unsold under the Company’s registration statement on Form F-3 (File No. 333-272954) with the U.S. Securities and Exchange Commission (the “SEC”), which was subsequently declared effective by the SEC on August 22, 2023; and</w:t>
            </w:r>
            <w:r>
              <w:rPr/>
              <w:t xml:space="preserve"> </w:t>
            </w:r>
          </w:p>
        </w:tc>
      </w:tr>
      <w:tr>
        <w:trPr/>
        <w:tc>
          <w:tcPr>
            <w:tcW w:w="84"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9912" w:type="dxa"/>
            <w:tcBorders/>
            <w:vAlign w:val="center"/>
          </w:tcPr>
          <w:p>
            <w:pPr>
              <w:pStyle w:val="TableContents"/>
              <w:bidi w:val="0"/>
              <w:spacing w:before="0" w:after="283"/>
              <w:jc w:val="both"/>
              <w:rPr/>
            </w:pPr>
            <w:r>
              <w:rPr/>
              <w:t> </w:t>
            </w:r>
          </w:p>
        </w:tc>
      </w:tr>
      <w:tr>
        <w:trPr/>
        <w:tc>
          <w:tcPr>
            <w:tcW w:w="84"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offering and sale from time to time by the selling security holders identified below of up to 43,415,633 Ordinary Shares in this registration statement (including 199,572 Ordinary Shares, 11,049,637 Ordinary Shares issuable upon the exercise of 11,049,637 warrants, 2,000,000 Ordinary Shares issuable upon the conversion of 2,000 convertible Series F Preferred Shares, 12,800,000 Ordinary Shares issuable upon the conversion of 12,800 convertible Series G Preferred Shares, 7,366,424 Ordinary Shares issuable upon the conversion of 7,366 convertible Series H Preferred Shares, and 10,000,000 Ordinary Shares issuable upon the conversion of 10,000 convertible Series I Preferred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429 under the Securities Act, this registration statement, which is a new registration statement, also constitutes a post-effective amendment to the Prior Registration Statement, and such post-effective amendment shall hereafter become effective concurrently with the effectiveness of this registration statement in accordance with Section 8(c)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We may not sell the securities until the registration statement filed with the U.S. Securities and Exchange Commission is effective. This prospectus is not an offer to sell these securities and it is not soliciting any offer to buy these securities in any jurisdiction where such offer or sale is not permitted.</w:t>
      </w:r>
    </w:p>
    <w:p>
      <w:pPr>
        <w:pStyle w:val="TextBody"/>
        <w:bidi w:val="0"/>
        <w:spacing w:before="0" w:after="0"/>
        <w:ind w:left="0" w:right="0" w:hanging="0"/>
        <w:jc w:val="left"/>
        <w:rPr>
          <w:caps w:val="false"/>
          <w:smallCaps w:val="false"/>
        </w:rPr>
      </w:pPr>
      <w:r>
        <w:rPr>
          <w:caps w:val="false"/>
          <w:smallCaps w:val="false"/>
        </w:rPr>
        <w:t> </w:t>
      </w:r>
    </w:p>
    <w:tbl>
      <w:tblPr>
        <w:tblW w:w="4630" w:type="dxa"/>
        <w:jc w:val="left"/>
        <w:tblInd w:w="0" w:type="dxa"/>
        <w:tblLayout w:type="fixed"/>
        <w:tblCellMar>
          <w:top w:w="0" w:type="dxa"/>
          <w:left w:w="0" w:type="dxa"/>
          <w:bottom w:w="0" w:type="dxa"/>
          <w:right w:w="0" w:type="dxa"/>
        </w:tblCellMar>
      </w:tblPr>
      <w:tblGrid>
        <w:gridCol w:w="2645"/>
        <w:gridCol w:w="1985"/>
      </w:tblGrid>
      <w:tr>
        <w:trPr/>
        <w:tc>
          <w:tcPr>
            <w:tcW w:w="2645" w:type="dxa"/>
            <w:tcBorders/>
            <w:vAlign w:val="center"/>
          </w:tcPr>
          <w:p>
            <w:pPr>
              <w:pStyle w:val="TableContents"/>
              <w:bidi w:val="0"/>
              <w:spacing w:before="0" w:after="283"/>
              <w:jc w:val="left"/>
              <w:rPr>
                <w:rFonts w:ascii="Times New Roman;Times;Serif" w:hAnsi="Times New Roman;Times;Serif"/>
                <w:b/>
                <w:color w:val="FF0000"/>
                <w:sz w:val="20"/>
              </w:rPr>
            </w:pPr>
            <w:r>
              <w:rPr>
                <w:rFonts w:ascii="Times New Roman;Times;Serif" w:hAnsi="Times New Roman;Times;Serif"/>
                <w:b/>
                <w:color w:val="FF0000"/>
                <w:sz w:val="20"/>
              </w:rPr>
              <w:t>SUBJECT TO COMPLETION</w:t>
            </w:r>
          </w:p>
        </w:tc>
        <w:tc>
          <w:tcPr>
            <w:tcW w:w="1985" w:type="dxa"/>
            <w:tcBorders/>
            <w:vAlign w:val="center"/>
          </w:tcPr>
          <w:p>
            <w:pPr>
              <w:pStyle w:val="TableContents"/>
              <w:bidi w:val="0"/>
              <w:spacing w:before="0" w:after="283"/>
              <w:jc w:val="right"/>
              <w:rPr/>
            </w:pPr>
            <w:r>
              <w:rPr>
                <w:rFonts w:ascii="Times New Roman;Times;Serif" w:hAnsi="Times New Roman;Times;Serif"/>
                <w:b/>
                <w:color w:val="FF0000"/>
                <w:sz w:val="20"/>
              </w:rPr>
              <w:t>DATED June 17, 2026</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US$ 296,000,000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Ordinary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43,415,633 Class A Ordinary Shares Offered by the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from time to time, in one or more offerings, offer and sell of up to US$296,000,000, together or separately, of our Class A ordinary shares of par value $20.25 each of the Company (the “Ordinary Shares”), preferred shares, debt securities, warrants, rights, and units, or any combination thereof as described in this prospectus, previously registered pursuant to our registration statement on Form F-3 (File No. 333-272954), or Prior Registration Statement, as amended, which we filed with the U.S. Securities and Exchange Commission (the “SEC”) on August 11, 2023, and was declared effective by the SEC on August 22, 2023. Pursuant to Rule 429 under the Securities Act of 1933, as amended (the “Securities Act”), this prospectus updates the Prior Registration Statement and includes the Ordinary Shares previously registered by us pursuant to such Prior Registration Statement. In this prospectus, references to the term “securities” refer collectively to our Ordinary Shares, preferred shares, debt securities, warrants, rights, and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selling securityholders named in this prospectus or their transferees may, from time to time in one or more offerings, offer and sell of up to an aggregate of 43,415,633 of our Ordinary Shares, that may be issued by us to the selling securityholders identified in this prospectus under “Selling Shareholders” (including (i) 199,572 Ordinary Shares, (ii) 2,000,000 Ordinary Shares issuable upon the conversion of 2,000 convertible Series F Preferred Shares, (iii) 12,800,000 Ordinary Shares issuable upon the conversion of 12,800 convertible Series G Preferred Shares, (iv) 7,366,424 Ordinary Shares issuable upon the conversion of 7,366 convertible Series H Preferred Shares, (v) 10,000,000 Ordinary Shares issuable upon the conversion of 10,000 convertible Series I Preferred Shares, and (vi) 11,049,637 Ordinary Shares issuable upon the exercise of 11,049,637 warrants). We will not receive any proceeds from the sale of our securities by our selling securityholders, but we may pay certain registration and offering fees and expenses associated with the registration and sale of those securities. See “Selling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these securities and selling securityholders may, from time to time, offer the securities through public or private transactions, directly or through one or more underwriters, dealers, brokers and agents, on or off the Nasdaq Capital Market, or Nasdaq, at prevailing market prices or at privately negotiated prices. If any underwriters, dealers, brokers or agents are involved in the sale of any of these securities, the applicable prospectus supplement will set forth the name of the underwriter, dealer, broker or agent and any applicable commissions or discounts.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provides a general description of the securities we or the selling securityholders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Times;Serif" w:hAnsi="Times New Roman;Times;Serif"/>
          <w:b/>
          <w:i w:val="false"/>
          <w:caps w:val="false"/>
          <w:smallCaps w:val="false"/>
          <w:sz w:val="20"/>
        </w:rPr>
        <w:t>This prospectus may not be used to offer or sell any securities unless accompanied by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outstanding Ordinary Shares held by non-affiliates remains below $75,000,000. The aggregate market value of our outstanding voting and non-voting common equity held by non-affiliates is approximately 26.62 million based on the closing price of $4.99 per Ordinary Share on June 15, 2026 and 5,333,870 Ordinary Shares held by non-affiliates. During the 12 calendar months prior to and including the date of this prospectus, we have not offered or sold any securities pursuant to General Instruction I.B.5 of Form F-3.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Ordinary Shares are listed on Nasdaq under the symbol “KXIN.” On June 15, 2026, the last reported sale price of ordinary shares on Nasdaq was US$4.99 per ordinary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Holding Company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is not an operating company in China, but a Cayman Islands holding company. We conduct our operations in mainland China through our PRC subsidiaries. As used in this prospectus, “we”, “us”, “our Company”, “the Company” or “our” refers to Kaixin Holdings (formerly known as Kaixin Auto Holdings), a Cayman Islands company and its subsidiaries. Investors of our ordinary shares are not purchasing equity interest in our operating entities in China but instead are purchasing equity interest in a Cayman Islands holding company. The chart below sets forth our corporate structure and identifies our subsidiaries and their subsidiaries,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726180" cy="24961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26180" cy="249618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various legal and operational risks and uncertainties associated with being based in or having our operations primarily in mainland China and the complex and evolving PRC laws and regulations. For instance, we face risks associated with regulatory approvals on offerings conducted overseas by and foreign investment in China-based issuers, anti-monopoly regulatory actions, and oversight on cybersecurity and data privacy. These risks could result in a material adverse change in our operations and the value of our ordinary shares, significantly limit or completely hinder our ability to offer or continue to offer securities to investors, or cause the value of such securities to significantly decline. For a detailed description of risks related to doing business in China, see “Item 3. Key Information — D. Risk Factors — Risks Related to Doing Business in China.” of our annual report for the year ended December 31, 2025 filed with the Securities and Exchange Commission on April 7, 2026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has significant authority in regulating our operations and may intervene or influence our operations at any time, which could result in a material adverse change in our operations and the value of our securities. The PRC government has recently indicated its intent to exert more oversight and control over offerings that are conducted overseas and foreign investment in China-based issuers. Such actions could significantly limit or completely hinder our ability to offer or continue to offer securities to investors and cause the value of such securities to significantly decline or be worthless. For example, anti-monopoly regulators in mainland China have promulgated new anti-monopoly and competition laws and regulations and strengthened the enforcement under these laws and regulations. There remain uncertainties as to how the laws, regulations and guidelines recently promulgated will be implemented and whether these laws, regulations and guidelines will have a material impact on our business, financial condition, results of operations and prospects. If any non-compliance is identified by relevant authorities, we may be subject to fines and other penalties. For more details, see “Item 3. Key Information — D. Risk Factors — Risks Related to Doing Business in China — The Chinese government may exert substantial influence over the manner in which we must conduct our business activities. We are required to file with the CSRC within 3 working days after the subsequent securities offering is completed and we might face warnings or fines if we fail to fulfill related filing procedure. We may become subject to more stringent requirements with respect to matters including cross-border investigation and enforcement of legal claims”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are not required to file for a cybersecurity review by the CAC for our past issuance of securities to foreign investors and maintaining our listing status on the Nasdaq, since a company already listed in a foreign stock exchange before promulgation of the latest Cybersecurity Review Measures is not required to file for a cybersecurity review by the CAC to maintain its listing status on the foreign stock exchange on which its securities have been listed. In terms of CSRC filings, according to the Trial Measures, among other things, a domestic company in mainland China that seeks to offer and list securities on overseas markets (either in direct or indirect means) shall fulfill the filing procedures with the CSRC as per requirement of the Trial Measures. Even though we are not required to complete the filing procedures with the CSRC for our historical issuance of securities, we may be required by the Trial Measures to file with the CSRC in connection with future securities offerings and listings outside of mainland China, including follow-on offerings, issuance of convertible bonds, offshore relisting after going-private transactions, and other equivalent offering activities. There remain substantial uncertainties about the interpretation, application and implementation of the laws and regulations relating to the CSRC filing and CAC cybersecurity review. If we fail to obtain any requisite approvals with respect to future offerings of our equity securities to foreign investors, or if we inadvertently conclude that such approvals are required or not required, or if the applicable laws, regulations or interpretations thereof change and we become subject to the requirement of additional permissions or approvals in the future, our ability to execute our financing and equity offering plans may be significantly limited or completely hindered. We cannot assure you that we will be able to obtain such permissions or approvals in a timely manner, or at all, and such approvals may be rescinded even if obtained. Any such circumstance could impede our efforts to improve our liquidity or expand our business operation, and we cannot assure you that there will not be material negative impacts on our financial condition and result of operations, or a significant decline in the value of our ordinary shares. Furthermore, we cannot assure you that authorities of mainland China will not promulgate new laws to further regulate the listing of our ordinary shares, or impose new compliance obligations for us to maintain the listing of our ordinary shares. Certain of our actions in relation to our overseas listing may also constitute a violation of the PRC Securities Law or other relevant laws, and as a consequence, subject us to penalties, including without limitation fines, limitations on our ability of financing activities, or the suspension or termination of certain aspects of our business operations, which may in turn result in substantial difficulty for us to maintain our listing overseas. Any measures taken by the PRC authorities to regulate or exert more control over securities offerings conducted overseas and foreign investments in China-based issuers may limit or hinder our ability to offer or continue to offer securities to investors, and the price of our ordinary shares may decline significantly, leading to a material adverse effect on the value of investments in our ordinary shares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PRC subsidiaries have received from relevant PRC authorities all requisite licenses, permissions, approvals or certificates needed for operations in China, and no permission or approval has been denied. As of the date of this prospectus, our Company and the subsidiaries have not been involved in any investigations or review initiated by any PRC regulatory authority, not has any of them received any inquiry, notice or sanction for the business operation, accepting foreign investment or listing on the Nasdaq Stock Market. We are required to continue to comply with the provisions of the laws, regulations and policies of mainland China for the operations of our subsidiaries in mainland China and we remain subject to the supervision of the relevant regulatory authorities of mainland China. However, since these statements and regulatory actions are newly published, it is uncertain what future impact such modified or new laws and regulations will have on our daily business operations, the ability to accept foreign investments and our continued listing on the Nasdaq Stock Market. Given the uncertainties of interpretation and implementation of laws and regulations and the enforcement practice by government authorities, we may be required to obtain additional licenses, permits, filings or approvals for our business and operations in the future. We cannot assure you that we will be able to obtain, in a timely manner or at all, or maintain such licenses, permits or approvals, and we may also inadvertently conclude that such permissions or approvals are not required. Any lack of or failure to maintain requisite approvals, licenses or permits applicable to us or our PRC subsidiaries may have a material adverse impact on our business, results of operations, financial condition and prospects, significantly limit or completely hinder our ability to offer or continue to offer securities to investors, and cause the value of our securities to significantly decline or become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arising from the legal system in China, including risks and uncertainties regarding the enforcement of laws and quickly evolving rules and regulations in China, could result in a material adverse change in our operations and the value of our ordinary shares. For more details, see “Item 3. Key Information - D. Risk Factors - Risks Related to Doing Business in China - Uncertainties with respect to the interpretation and enforcement of PRC laws, rules and regulations could adversely affect us”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Asset Flows through Our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transfers cash to its wholly-owned Hong Kong subsidiaries, by making capital contributions or providing loans, and the Hong Kong subsidiaries transfer cash to the PRC subsidiaries by making capital contributions or providing loans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majority of our subsidiaries and their PRC subsidiaries receive income in RMB. Shortages in foreign currencies may restrict our ability to pay dividends or other payments, or otherwise satisfy our foreign currency denominated obligations, if any. In addition, under the PRC laws and regulations, our PRC subsidiaries and their subsidiaries are also subject to certain restrictions with respect to paying dividends or otherwise transferring any of their net assets to us. We have no operations outside of PRC, and cash generated from operations in the PRC may not be available for other use outside of the PRC due to interventions in or the imposition of restrictions and limitations on the ability of us, or our subsidiaries by the PRC government to transfer cash. In addition, remittance of dividends by a wholly foreign-owned enterprise out of China is also subject to examination by the banks designated by SAFE.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Approval from appropriate government authorities is required if RMB is converted into foreign currency and remitted out of China to pay capital expenses such as the repayment of loans denominated in foreign currencies. The Chinese government may also, at its discretion, impose restrictions on access to foreign currencies for current account transactions and if this occurs in the future, we may not be able to pay dividends in foreign currencies to our shareholders. See “Item 3. Key Information — D. Risk Factors — Risks Related to Doing Business in China — 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 and “Item 3. Key Information — D. Risk Factors — Risks Related to Our Corporate Structure – Investing in our securities is highly speculative and involves a significant degree of risk as we are a holding company incorporated in the Cayman Islands. To the extent cash or assets in the business are in the mainland China/Hong Kong or a mainland China/Hong Kong entity, funds or assets may not be available to fund operations or for other use outside of the PRC/Hong Kong due to interventions in or the imposition of restrictions and limitations on the ability of the holding company or its subsidiaries by the PRC government to transfer cash or assets.”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no dividends or distributions were made to Kaixin by our subsidiaries. Under the PRC laws and regulations, our PRC subsidiaries and VIEs are subject to certain restrictions with respect to paying dividends or otherwise transferring any of their net assets to us. Remittance of dividends by a wholly foreign-owned enterprise out of China is also subject to examination by the banks designated by SAFE. Furthermore, cash transfers from our PRC subsidiaries to entities outside of China are subject to PRC government control of currency conversion. Shortages in the availability of foreign currency may temporarily delay the ability of our PRC subsidiaries to remit sufficient foreign currency to pay dividends or other payments to us, or otherwise satisfy their foreign currency denominated obligations. For risks relating to the fund flows of our operations in China, see “Item 3. Key Information — D. Risk Factors — Risks Related to Doing Business in China — We may rely on dividends and other distributions on equity paid by our PRC subsidiaries to fund any cash and financing requirements that we may have, and any limitation on the ability of our PRC subsidiaries to make payments to us could have a material and adverse effect on our ability to conduct our business”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no assets other than cash were transferred through our organization. Although we do not have a formal cash management policy in place that dictates how funds shall be transferred between the Company, our subsidiaries or investors, cash transfers are made among the entities based on business needs in compliance of relevant PRC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has not declared or paid any cash dividends, nor does it have any present plan to pay any cash dividends on its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For the Cayman Islands, PRC and U.S. federal income tax considerations applicable to an investment in our ordinary shares, see “Item 10. Additional Information — E. Taxation”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Holding Foreign Companies Accountable Act (the “HFCAA”) was enacted on December 18, 2020, as amended by the Consolidated Appropriations Act, 2023. The HFCAA states if the SEC determines that we have filed audit reports issued by a registered public accounting firm that has not been subject to inspection by the PCAOB for three consecutive years beginning in 2021, the SEC shall prohibit our shares from being traded on a national securities exchange or in the over- the-counter trading market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Determination Report which found that the PCAOB was unable to inspect or investigate completely registered public accounting firms headquartered in: (i) mainland China, and (ii)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signed a Statement of Protocol with the CSRC and Ministry of Finance, taking the first step toward opening access for the PCAOB to inspect and investigate registered public accounting firms headquartered in mainland China and Hong Kong completely, consistent with U.S.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announced that it was able to conduct inspections and investigations completely of PCAOB- registered public accounting firms headquartered in mainland China and Hong Kong in 2022. The PCAOB vacated its previous determinations issued in December 2021 accordingly. As of the date of this annual report, the PCAOB has not issued any new determination that it is unable to inspect or investigate completely registered public accounting firms headquartered in any jurisdiction. As a result, we do not expect to be identified as a “Commission-Identified Issuer” under the HFCAA for the fiscal year ended December 31, 2025 after we file our annual report on Form 20-F for such fiscal year.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However, whether the PCAOB will be able to continue to conduct inspections and investigations completely to its satisfaction of PCAOB-registered public accounting firms headquartered in mainland China and Hong Kong is subject to uncertainty and depends on a number of factors out of our, and our auditor’s, control, including positions taken by authorities of the PRC.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auditor, Onestop Assurance PAC (“Onestop”), the independent registered public accounting firm that issue the audit reports included elsewhere in this prospectus, is registered with the PCAOB. The PCAOB conducts regular inspections to assess its compliance with the applicable professional standards. Onestop Assurance PAC is headquartered in Singapore and, as of the date of this prospectus, is not included in the list of PCAOB Identified Firms in the PCAOB Determination Report issued in December 2021. See “Item 3. Key Information – D. Risk Factors – Risks Related to Doing Business in China - If the PCAOB is unable to inspect our auditors as required under the Holding Foreign Companies Accountable Act, the SEC will prohibit the trading of our shares. A trading prohibition for our shares, or the threat of a trading prohibition, may materially and adversely affect the value of your investment. Additionally, the inability of the PCAOB to conduct inspections of our auditors, if any, would deprive our investors of the benefits of such inspections.”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has not declared or paid any cash dividends, nor does it have any present plan to pay any cash dividends on its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on page 93 of our most recent annual report on Form 20-F for the fiscal year ended December 31, 2025. For the Cayman Islands, PRC and U.S. federal income tax considerations applicable to an investment in our ordinary shares, see “Item 10. Additional Information — E. Taxation” on page 102 of our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and may continue to experience price volatility in our Ordinary Shares. See related risk factors in our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involves risks. See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beginning on page </w:t>
      </w:r>
      <w:hyperlink w:anchor="a_006">
        <w:r>
          <w:rPr>
            <w:rStyle w:val="InternetLink"/>
            <w:rFonts w:ascii="Times New Roman;Times;Serif" w:hAnsi="Times New Roman;Times;Serif"/>
            <w:b/>
            <w:i w:val="false"/>
            <w:caps w:val="false"/>
            <w:smallCaps w:val="false"/>
            <w:sz w:val="20"/>
          </w:rPr>
          <w:t>8</w:t>
        </w:r>
      </w:hyperlink>
      <w:r>
        <w:rPr>
          <w:rFonts w:ascii="Times New Roman;Times;Serif" w:hAnsi="Times New Roman;Times;Serif"/>
          <w:b/>
          <w:i w:val="false"/>
          <w:caps w:val="false"/>
          <w:smallCaps w:val="false"/>
          <w:sz w:val="20"/>
        </w:rPr>
        <w:t xml:space="preserve"> of this prospectus and risk factors set forth in our Annual Report on Form 20-F, in other reports incorporated herein by reference, and in an applicable prospectus supplement under the heading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nor any state securities commission nor any other regulatory body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is June 17,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4685"/>
        <w:gridCol w:w="455"/>
      </w:tblGrid>
      <w:tr>
        <w:trPr/>
        <w:tc>
          <w:tcPr>
            <w:tcW w:w="4685"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4685"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About this Prospectus</w:t>
              </w:r>
            </w:hyperlink>
          </w:p>
        </w:tc>
        <w:tc>
          <w:tcPr>
            <w:tcW w:w="455" w:type="dxa"/>
            <w:tcBorders/>
            <w:shd w:fill="CCEEFF" w:val="clear"/>
            <w:vAlign w:val="center"/>
          </w:tcPr>
          <w:p>
            <w:pPr>
              <w:pStyle w:val="TableContents"/>
              <w:bidi w:val="0"/>
              <w:spacing w:before="0" w:after="283"/>
              <w:jc w:val="right"/>
              <w:rPr/>
            </w:pPr>
            <w:hyperlink w:anchor="a_002">
              <w:r>
                <w:rPr>
                  <w:rStyle w:val="InternetLink"/>
                  <w:rFonts w:ascii="Times New Roman;Times;Serif" w:hAnsi="Times New Roman;Times;Serif"/>
                  <w:sz w:val="20"/>
                </w:rPr>
                <w:t>ii</w:t>
              </w:r>
            </w:hyperlink>
          </w:p>
        </w:tc>
      </w:tr>
      <w:tr>
        <w:trPr/>
        <w:tc>
          <w:tcPr>
            <w:tcW w:w="468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Commonly Used Defined Terms</w:t>
              </w:r>
            </w:hyperlink>
          </w:p>
        </w:tc>
        <w:tc>
          <w:tcPr>
            <w:tcW w:w="455" w:type="dxa"/>
            <w:tcBorders/>
            <w:shd w:fill="FFFFFF" w:val="clear"/>
            <w:vAlign w:val="center"/>
          </w:tcPr>
          <w:p>
            <w:pPr>
              <w:pStyle w:val="TableContents"/>
              <w:bidi w:val="0"/>
              <w:spacing w:before="0" w:after="283"/>
              <w:jc w:val="right"/>
              <w:rPr/>
            </w:pPr>
            <w:hyperlink w:anchor="a_003">
              <w:r>
                <w:rPr>
                  <w:rStyle w:val="InternetLink"/>
                  <w:rFonts w:ascii="Times New Roman;Times;Serif" w:hAnsi="Times New Roman;Times;Serif"/>
                  <w:sz w:val="20"/>
                </w:rPr>
                <w:t>iii</w:t>
              </w:r>
            </w:hyperlink>
          </w:p>
        </w:tc>
      </w:tr>
      <w:tr>
        <w:trPr/>
        <w:tc>
          <w:tcPr>
            <w:tcW w:w="4685"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Cautionary Note Regarding Forward-Looking Statements</w:t>
              </w:r>
            </w:hyperlink>
          </w:p>
        </w:tc>
        <w:tc>
          <w:tcPr>
            <w:tcW w:w="455" w:type="dxa"/>
            <w:tcBorders/>
            <w:shd w:fill="CCEEFF" w:val="clear"/>
            <w:vAlign w:val="center"/>
          </w:tcPr>
          <w:p>
            <w:pPr>
              <w:pStyle w:val="TableContents"/>
              <w:bidi w:val="0"/>
              <w:spacing w:before="0" w:after="283"/>
              <w:jc w:val="right"/>
              <w:rPr/>
            </w:pPr>
            <w:hyperlink w:anchor="a_004">
              <w:r>
                <w:rPr>
                  <w:rStyle w:val="InternetLink"/>
                  <w:rFonts w:ascii="Times New Roman;Times;Serif" w:hAnsi="Times New Roman;Times;Serif"/>
                  <w:sz w:val="20"/>
                </w:rPr>
                <w:t>iv</w:t>
              </w:r>
            </w:hyperlink>
          </w:p>
        </w:tc>
      </w:tr>
      <w:tr>
        <w:trPr/>
        <w:tc>
          <w:tcPr>
            <w:tcW w:w="4685"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Prospectus Summary</w:t>
              </w:r>
            </w:hyperlink>
          </w:p>
        </w:tc>
        <w:tc>
          <w:tcPr>
            <w:tcW w:w="455" w:type="dxa"/>
            <w:tcBorders/>
            <w:shd w:fill="FFFFFF" w:val="clear"/>
            <w:vAlign w:val="center"/>
          </w:tcPr>
          <w:p>
            <w:pPr>
              <w:pStyle w:val="TableContents"/>
              <w:bidi w:val="0"/>
              <w:spacing w:before="0" w:after="283"/>
              <w:jc w:val="right"/>
              <w:rPr/>
            </w:pPr>
            <w:hyperlink w:anchor="a_005">
              <w:r>
                <w:rPr>
                  <w:rStyle w:val="InternetLink"/>
                  <w:rFonts w:ascii="Times New Roman;Times;Serif" w:hAnsi="Times New Roman;Times;Serif"/>
                  <w:sz w:val="20"/>
                </w:rPr>
                <w:t>1</w:t>
              </w:r>
            </w:hyperlink>
          </w:p>
        </w:tc>
      </w:tr>
      <w:tr>
        <w:trPr/>
        <w:tc>
          <w:tcPr>
            <w:tcW w:w="4685"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455" w:type="dxa"/>
            <w:tcBorders/>
            <w:shd w:fill="CCEEFF" w:val="clear"/>
            <w:vAlign w:val="center"/>
          </w:tcPr>
          <w:p>
            <w:pPr>
              <w:pStyle w:val="TableContents"/>
              <w:bidi w:val="0"/>
              <w:spacing w:before="0" w:after="283"/>
              <w:jc w:val="right"/>
              <w:rPr/>
            </w:pPr>
            <w:hyperlink w:anchor="a_006">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Offer Statistics and Expected Timetable</w:t>
              </w:r>
            </w:hyperlink>
          </w:p>
        </w:tc>
        <w:tc>
          <w:tcPr>
            <w:tcW w:w="455" w:type="dxa"/>
            <w:tcBorders/>
            <w:shd w:fill="FFFFFF" w:val="clear"/>
            <w:vAlign w:val="center"/>
          </w:tcPr>
          <w:p>
            <w:pPr>
              <w:pStyle w:val="TableContents"/>
              <w:bidi w:val="0"/>
              <w:spacing w:before="0" w:after="283"/>
              <w:jc w:val="right"/>
              <w:rPr/>
            </w:pPr>
            <w:hyperlink w:anchor="a_007">
              <w:r>
                <w:rPr>
                  <w:rStyle w:val="InternetLink"/>
                  <w:rFonts w:ascii="Times New Roman;Times;Serif" w:hAnsi="Times New Roman;Times;Serif"/>
                  <w:sz w:val="20"/>
                </w:rPr>
                <w:t>8</w:t>
              </w:r>
            </w:hyperlink>
          </w:p>
        </w:tc>
      </w:tr>
      <w:tr>
        <w:trPr/>
        <w:tc>
          <w:tcPr>
            <w:tcW w:w="4685"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Capitalization and Indebtedness</w:t>
              </w:r>
            </w:hyperlink>
          </w:p>
        </w:tc>
        <w:tc>
          <w:tcPr>
            <w:tcW w:w="455" w:type="dxa"/>
            <w:tcBorders/>
            <w:shd w:fill="CCEEFF" w:val="clear"/>
            <w:vAlign w:val="center"/>
          </w:tcPr>
          <w:p>
            <w:pPr>
              <w:pStyle w:val="TableContents"/>
              <w:bidi w:val="0"/>
              <w:spacing w:before="0" w:after="283"/>
              <w:jc w:val="right"/>
              <w:rPr/>
            </w:pPr>
            <w:hyperlink w:anchor="a_008">
              <w:r>
                <w:rPr>
                  <w:rStyle w:val="InternetLink"/>
                  <w:rFonts w:ascii="Times New Roman;Times;Serif" w:hAnsi="Times New Roman;Times;Serif"/>
                  <w:sz w:val="20"/>
                </w:rPr>
                <w:t>8</w:t>
              </w:r>
            </w:hyperlink>
          </w:p>
        </w:tc>
      </w:tr>
      <w:tr>
        <w:trPr/>
        <w:tc>
          <w:tcPr>
            <w:tcW w:w="4685" w:type="dxa"/>
            <w:tcBorders/>
            <w:shd w:fill="FFFF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Dilution</w:t>
              </w:r>
            </w:hyperlink>
          </w:p>
        </w:tc>
        <w:tc>
          <w:tcPr>
            <w:tcW w:w="455" w:type="dxa"/>
            <w:tcBorders/>
            <w:shd w:fill="FFFFFF" w:val="clear"/>
            <w:vAlign w:val="center"/>
          </w:tcPr>
          <w:p>
            <w:pPr>
              <w:pStyle w:val="TableContents"/>
              <w:bidi w:val="0"/>
              <w:spacing w:before="0" w:after="283"/>
              <w:jc w:val="right"/>
              <w:rPr/>
            </w:pPr>
            <w:hyperlink w:anchor="a_009">
              <w:r>
                <w:rPr>
                  <w:rStyle w:val="InternetLink"/>
                </w:rPr>
                <w:t>9</w:t>
              </w:r>
            </w:hyperlink>
          </w:p>
        </w:tc>
      </w:tr>
      <w:tr>
        <w:trPr/>
        <w:tc>
          <w:tcPr>
            <w:tcW w:w="468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Use of Proceeds</w:t>
              </w:r>
            </w:hyperlink>
          </w:p>
        </w:tc>
        <w:tc>
          <w:tcPr>
            <w:tcW w:w="455" w:type="dxa"/>
            <w:tcBorders/>
            <w:shd w:fill="CCEEFF" w:val="clear"/>
            <w:vAlign w:val="center"/>
          </w:tcPr>
          <w:p>
            <w:pPr>
              <w:pStyle w:val="TableContents"/>
              <w:bidi w:val="0"/>
              <w:spacing w:before="0" w:after="283"/>
              <w:jc w:val="right"/>
              <w:rPr/>
            </w:pPr>
            <w:hyperlink w:anchor="a_010">
              <w:r>
                <w:rPr>
                  <w:rStyle w:val="InternetLink"/>
                  <w:rFonts w:ascii="Times New Roman;Times;Serif" w:hAnsi="Times New Roman;Times;Serif"/>
                  <w:sz w:val="20"/>
                </w:rPr>
                <w:t>9</w:t>
              </w:r>
            </w:hyperlink>
          </w:p>
        </w:tc>
      </w:tr>
      <w:tr>
        <w:trPr/>
        <w:tc>
          <w:tcPr>
            <w:tcW w:w="468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Share Capital</w:t>
              </w:r>
            </w:hyperlink>
          </w:p>
        </w:tc>
        <w:tc>
          <w:tcPr>
            <w:tcW w:w="455" w:type="dxa"/>
            <w:tcBorders/>
            <w:shd w:fill="FFFFFF" w:val="clear"/>
            <w:vAlign w:val="center"/>
          </w:tcPr>
          <w:p>
            <w:pPr>
              <w:pStyle w:val="TableContents"/>
              <w:bidi w:val="0"/>
              <w:spacing w:before="0" w:after="283"/>
              <w:jc w:val="right"/>
              <w:rPr/>
            </w:pPr>
            <w:hyperlink w:anchor="a_011">
              <w:r>
                <w:rPr>
                  <w:rStyle w:val="InternetLink"/>
                  <w:rFonts w:ascii="Times New Roman;Times;Serif" w:hAnsi="Times New Roman;Times;Serif"/>
                  <w:sz w:val="20"/>
                </w:rPr>
                <w:t>9</w:t>
              </w:r>
            </w:hyperlink>
          </w:p>
        </w:tc>
      </w:tr>
      <w:tr>
        <w:trPr/>
        <w:tc>
          <w:tcPr>
            <w:tcW w:w="468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Description of Ordinary Shares</w:t>
              </w:r>
            </w:hyperlink>
          </w:p>
        </w:tc>
        <w:tc>
          <w:tcPr>
            <w:tcW w:w="455" w:type="dxa"/>
            <w:tcBorders/>
            <w:shd w:fill="CCEEFF" w:val="clear"/>
            <w:vAlign w:val="center"/>
          </w:tcPr>
          <w:p>
            <w:pPr>
              <w:pStyle w:val="TableContents"/>
              <w:bidi w:val="0"/>
              <w:spacing w:before="0" w:after="283"/>
              <w:jc w:val="right"/>
              <w:rPr/>
            </w:pPr>
            <w:hyperlink w:anchor="a_012">
              <w:r>
                <w:rPr>
                  <w:rStyle w:val="InternetLink"/>
                  <w:rFonts w:ascii="Times New Roman;Times;Serif" w:hAnsi="Times New Roman;Times;Serif"/>
                  <w:sz w:val="20"/>
                </w:rPr>
                <w:t>13</w:t>
              </w:r>
            </w:hyperlink>
          </w:p>
        </w:tc>
      </w:tr>
      <w:tr>
        <w:trPr/>
        <w:tc>
          <w:tcPr>
            <w:tcW w:w="468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Description of Preferred Shares</w:t>
              </w:r>
            </w:hyperlink>
          </w:p>
        </w:tc>
        <w:tc>
          <w:tcPr>
            <w:tcW w:w="455" w:type="dxa"/>
            <w:tcBorders/>
            <w:shd w:fill="FFFFFF" w:val="clear"/>
            <w:vAlign w:val="center"/>
          </w:tcPr>
          <w:p>
            <w:pPr>
              <w:pStyle w:val="TableContents"/>
              <w:bidi w:val="0"/>
              <w:spacing w:before="0" w:after="283"/>
              <w:jc w:val="right"/>
              <w:rPr/>
            </w:pPr>
            <w:hyperlink w:anchor="a_013">
              <w:r>
                <w:rPr>
                  <w:rStyle w:val="InternetLink"/>
                  <w:rFonts w:ascii="Times New Roman;Times;Serif" w:hAnsi="Times New Roman;Times;Serif"/>
                  <w:sz w:val="20"/>
                </w:rPr>
                <w:t>14</w:t>
              </w:r>
            </w:hyperlink>
          </w:p>
        </w:tc>
      </w:tr>
      <w:tr>
        <w:trPr/>
        <w:tc>
          <w:tcPr>
            <w:tcW w:w="468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Description of Debt Securities</w:t>
              </w:r>
            </w:hyperlink>
          </w:p>
        </w:tc>
        <w:tc>
          <w:tcPr>
            <w:tcW w:w="455" w:type="dxa"/>
            <w:tcBorders/>
            <w:shd w:fill="CCEEFF" w:val="clear"/>
            <w:vAlign w:val="center"/>
          </w:tcPr>
          <w:p>
            <w:pPr>
              <w:pStyle w:val="TableContents"/>
              <w:bidi w:val="0"/>
              <w:spacing w:before="0" w:after="283"/>
              <w:jc w:val="right"/>
              <w:rPr/>
            </w:pPr>
            <w:hyperlink w:anchor="a_014">
              <w:r>
                <w:rPr>
                  <w:rStyle w:val="InternetLink"/>
                  <w:rFonts w:ascii="Times New Roman;Times;Serif" w:hAnsi="Times New Roman;Times;Serif"/>
                  <w:sz w:val="20"/>
                </w:rPr>
                <w:t>14</w:t>
              </w:r>
            </w:hyperlink>
          </w:p>
        </w:tc>
      </w:tr>
      <w:tr>
        <w:trPr/>
        <w:tc>
          <w:tcPr>
            <w:tcW w:w="4685" w:type="dxa"/>
            <w:tcBorders/>
            <w:shd w:fill="FFFF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Description of Warrants</w:t>
              </w:r>
            </w:hyperlink>
          </w:p>
        </w:tc>
        <w:tc>
          <w:tcPr>
            <w:tcW w:w="455" w:type="dxa"/>
            <w:tcBorders/>
            <w:shd w:fill="FFFFFF" w:val="clear"/>
            <w:vAlign w:val="center"/>
          </w:tcPr>
          <w:p>
            <w:pPr>
              <w:pStyle w:val="TableContents"/>
              <w:bidi w:val="0"/>
              <w:spacing w:before="0" w:after="283"/>
              <w:jc w:val="right"/>
              <w:rPr/>
            </w:pPr>
            <w:hyperlink w:anchor="a_015">
              <w:r>
                <w:rPr>
                  <w:rStyle w:val="InternetLink"/>
                  <w:rFonts w:ascii="Times New Roman;Times;Serif" w:hAnsi="Times New Roman;Times;Serif"/>
                  <w:sz w:val="20"/>
                </w:rPr>
                <w:t>15</w:t>
              </w:r>
            </w:hyperlink>
          </w:p>
        </w:tc>
      </w:tr>
      <w:tr>
        <w:trPr/>
        <w:tc>
          <w:tcPr>
            <w:tcW w:w="4685"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Description of Rights</w:t>
              </w:r>
            </w:hyperlink>
          </w:p>
        </w:tc>
        <w:tc>
          <w:tcPr>
            <w:tcW w:w="455" w:type="dxa"/>
            <w:tcBorders/>
            <w:shd w:fill="CCEEFF" w:val="clear"/>
            <w:vAlign w:val="center"/>
          </w:tcPr>
          <w:p>
            <w:pPr>
              <w:pStyle w:val="TableContents"/>
              <w:bidi w:val="0"/>
              <w:spacing w:before="0" w:after="283"/>
              <w:jc w:val="right"/>
              <w:rPr/>
            </w:pPr>
            <w:hyperlink w:anchor="a_016">
              <w:r>
                <w:rPr>
                  <w:rStyle w:val="InternetLink"/>
                  <w:rFonts w:ascii="Times New Roman;Times;Serif" w:hAnsi="Times New Roman;Times;Serif"/>
                  <w:sz w:val="20"/>
                </w:rPr>
                <w:t>19</w:t>
              </w:r>
            </w:hyperlink>
          </w:p>
        </w:tc>
      </w:tr>
      <w:tr>
        <w:trPr/>
        <w:tc>
          <w:tcPr>
            <w:tcW w:w="4685" w:type="dxa"/>
            <w:tcBorders/>
            <w:shd w:fill="FFFF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Description of Units</w:t>
              </w:r>
            </w:hyperlink>
          </w:p>
        </w:tc>
        <w:tc>
          <w:tcPr>
            <w:tcW w:w="455" w:type="dxa"/>
            <w:tcBorders/>
            <w:shd w:fill="FFFFFF" w:val="clear"/>
            <w:vAlign w:val="center"/>
          </w:tcPr>
          <w:p>
            <w:pPr>
              <w:pStyle w:val="TableContents"/>
              <w:bidi w:val="0"/>
              <w:spacing w:before="0" w:after="283"/>
              <w:jc w:val="right"/>
              <w:rPr/>
            </w:pPr>
            <w:hyperlink w:anchor="a_017">
              <w:r>
                <w:rPr>
                  <w:rStyle w:val="InternetLink"/>
                  <w:rFonts w:ascii="Times New Roman;Times;Serif" w:hAnsi="Times New Roman;Times;Serif"/>
                  <w:sz w:val="20"/>
                </w:rPr>
                <w:t>19</w:t>
              </w:r>
            </w:hyperlink>
          </w:p>
        </w:tc>
      </w:tr>
      <w:tr>
        <w:trPr/>
        <w:tc>
          <w:tcPr>
            <w:tcW w:w="4685"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Plan of Distribution</w:t>
              </w:r>
            </w:hyperlink>
          </w:p>
        </w:tc>
        <w:tc>
          <w:tcPr>
            <w:tcW w:w="455" w:type="dxa"/>
            <w:tcBorders/>
            <w:shd w:fill="CCEEFF" w:val="clear"/>
            <w:vAlign w:val="center"/>
          </w:tcPr>
          <w:p>
            <w:pPr>
              <w:pStyle w:val="TableContents"/>
              <w:bidi w:val="0"/>
              <w:spacing w:before="0" w:after="283"/>
              <w:jc w:val="right"/>
              <w:rPr/>
            </w:pPr>
            <w:hyperlink w:anchor="a_018">
              <w:r>
                <w:rPr>
                  <w:rStyle w:val="InternetLink"/>
                  <w:rFonts w:ascii="Times New Roman;Times;Serif" w:hAnsi="Times New Roman;Times;Serif"/>
                  <w:sz w:val="20"/>
                </w:rPr>
                <w:t>20</w:t>
              </w:r>
            </w:hyperlink>
          </w:p>
        </w:tc>
      </w:tr>
      <w:tr>
        <w:trPr/>
        <w:tc>
          <w:tcPr>
            <w:tcW w:w="4685" w:type="dxa"/>
            <w:tcBorders/>
            <w:shd w:fill="FFFFFF" w:val="clear"/>
            <w:vAlign w:val="center"/>
          </w:tcPr>
          <w:p>
            <w:pPr>
              <w:pStyle w:val="TableContents"/>
              <w:bidi w:val="0"/>
              <w:spacing w:before="0" w:after="283"/>
              <w:jc w:val="left"/>
              <w:rPr/>
            </w:pPr>
            <w:hyperlink w:anchor="a_019">
              <w:r>
                <w:rPr>
                  <w:rStyle w:val="InternetLink"/>
                  <w:rFonts w:ascii="Times New Roman;Times;Serif" w:hAnsi="Times New Roman;Times;Serif"/>
                  <w:sz w:val="20"/>
                </w:rPr>
                <w:t>Selling Securityholders</w:t>
              </w:r>
            </w:hyperlink>
          </w:p>
        </w:tc>
        <w:tc>
          <w:tcPr>
            <w:tcW w:w="455" w:type="dxa"/>
            <w:tcBorders/>
            <w:shd w:fill="FFFFFF" w:val="clear"/>
            <w:vAlign w:val="center"/>
          </w:tcPr>
          <w:p>
            <w:pPr>
              <w:pStyle w:val="TableContents"/>
              <w:bidi w:val="0"/>
              <w:spacing w:before="0" w:after="283"/>
              <w:jc w:val="right"/>
              <w:rPr/>
            </w:pPr>
            <w:hyperlink w:anchor="a_019">
              <w:r>
                <w:rPr>
                  <w:rStyle w:val="InternetLink"/>
                  <w:rFonts w:ascii="Times New Roman;Times;Serif" w:hAnsi="Times New Roman;Times;Serif"/>
                  <w:sz w:val="20"/>
                </w:rPr>
                <w:t>21</w:t>
              </w:r>
            </w:hyperlink>
          </w:p>
        </w:tc>
      </w:tr>
      <w:tr>
        <w:trPr/>
        <w:tc>
          <w:tcPr>
            <w:tcW w:w="4685" w:type="dxa"/>
            <w:tcBorders/>
            <w:shd w:fill="CCEEFF" w:val="clear"/>
            <w:vAlign w:val="center"/>
          </w:tcPr>
          <w:p>
            <w:pPr>
              <w:pStyle w:val="TableContents"/>
              <w:bidi w:val="0"/>
              <w:spacing w:before="0" w:after="283"/>
              <w:jc w:val="left"/>
              <w:rPr/>
            </w:pPr>
            <w:hyperlink w:anchor="a_020">
              <w:r>
                <w:rPr>
                  <w:rStyle w:val="InternetLink"/>
                  <w:rFonts w:ascii="Times New Roman;Times;Serif" w:hAnsi="Times New Roman;Times;Serif"/>
                  <w:sz w:val="20"/>
                </w:rPr>
                <w:t>Taxation</w:t>
              </w:r>
            </w:hyperlink>
          </w:p>
        </w:tc>
        <w:tc>
          <w:tcPr>
            <w:tcW w:w="455" w:type="dxa"/>
            <w:tcBorders/>
            <w:shd w:fill="CCEEFF" w:val="clear"/>
            <w:vAlign w:val="center"/>
          </w:tcPr>
          <w:p>
            <w:pPr>
              <w:pStyle w:val="TableContents"/>
              <w:bidi w:val="0"/>
              <w:spacing w:before="0" w:after="283"/>
              <w:jc w:val="right"/>
              <w:rPr/>
            </w:pPr>
            <w:hyperlink w:anchor="a_020">
              <w:r>
                <w:rPr>
                  <w:rStyle w:val="InternetLink"/>
                  <w:rFonts w:ascii="Times New Roman;Times;Serif" w:hAnsi="Times New Roman;Times;Serif"/>
                  <w:sz w:val="20"/>
                </w:rPr>
                <w:t>23</w:t>
              </w:r>
            </w:hyperlink>
          </w:p>
        </w:tc>
      </w:tr>
      <w:tr>
        <w:trPr/>
        <w:tc>
          <w:tcPr>
            <w:tcW w:w="4685" w:type="dxa"/>
            <w:tcBorders/>
            <w:shd w:fill="FFFFFF" w:val="clear"/>
            <w:vAlign w:val="center"/>
          </w:tcPr>
          <w:p>
            <w:pPr>
              <w:pStyle w:val="TableContents"/>
              <w:bidi w:val="0"/>
              <w:spacing w:before="0" w:after="283"/>
              <w:jc w:val="left"/>
              <w:rPr/>
            </w:pPr>
            <w:hyperlink w:anchor="a_021">
              <w:r>
                <w:rPr>
                  <w:rStyle w:val="InternetLink"/>
                  <w:rFonts w:ascii="Times New Roman;Times;Serif" w:hAnsi="Times New Roman;Times;Serif"/>
                  <w:sz w:val="20"/>
                </w:rPr>
                <w:t>Expenses</w:t>
              </w:r>
            </w:hyperlink>
          </w:p>
        </w:tc>
        <w:tc>
          <w:tcPr>
            <w:tcW w:w="455" w:type="dxa"/>
            <w:tcBorders/>
            <w:shd w:fill="FFFFFF" w:val="clear"/>
            <w:vAlign w:val="center"/>
          </w:tcPr>
          <w:p>
            <w:pPr>
              <w:pStyle w:val="TableContents"/>
              <w:bidi w:val="0"/>
              <w:spacing w:before="0" w:after="283"/>
              <w:jc w:val="right"/>
              <w:rPr/>
            </w:pPr>
            <w:hyperlink w:anchor="a_021">
              <w:r>
                <w:rPr>
                  <w:rStyle w:val="InternetLink"/>
                  <w:rFonts w:ascii="Times New Roman;Times;Serif" w:hAnsi="Times New Roman;Times;Serif"/>
                  <w:sz w:val="20"/>
                </w:rPr>
                <w:t>23</w:t>
              </w:r>
            </w:hyperlink>
          </w:p>
        </w:tc>
      </w:tr>
      <w:tr>
        <w:trPr/>
        <w:tc>
          <w:tcPr>
            <w:tcW w:w="4685" w:type="dxa"/>
            <w:tcBorders/>
            <w:shd w:fill="CCEEFF" w:val="clear"/>
            <w:vAlign w:val="center"/>
          </w:tcPr>
          <w:p>
            <w:pPr>
              <w:pStyle w:val="TableContents"/>
              <w:bidi w:val="0"/>
              <w:spacing w:before="0" w:after="283"/>
              <w:jc w:val="left"/>
              <w:rPr/>
            </w:pPr>
            <w:hyperlink w:anchor="a_022">
              <w:r>
                <w:rPr>
                  <w:rStyle w:val="InternetLink"/>
                  <w:rFonts w:ascii="Times New Roman;Times;Serif" w:hAnsi="Times New Roman;Times;Serif"/>
                  <w:sz w:val="20"/>
                </w:rPr>
                <w:t>Material Contracts</w:t>
              </w:r>
            </w:hyperlink>
          </w:p>
        </w:tc>
        <w:tc>
          <w:tcPr>
            <w:tcW w:w="455" w:type="dxa"/>
            <w:tcBorders/>
            <w:shd w:fill="CCEEFF" w:val="clear"/>
            <w:vAlign w:val="center"/>
          </w:tcPr>
          <w:p>
            <w:pPr>
              <w:pStyle w:val="TableContents"/>
              <w:bidi w:val="0"/>
              <w:spacing w:before="0" w:after="283"/>
              <w:jc w:val="right"/>
              <w:rPr/>
            </w:pPr>
            <w:hyperlink w:anchor="a_022">
              <w:r>
                <w:rPr>
                  <w:rStyle w:val="InternetLink"/>
                  <w:rFonts w:ascii="Times New Roman;Times;Serif" w:hAnsi="Times New Roman;Times;Serif"/>
                  <w:sz w:val="20"/>
                </w:rPr>
                <w:t>23</w:t>
              </w:r>
            </w:hyperlink>
          </w:p>
        </w:tc>
      </w:tr>
      <w:tr>
        <w:trPr/>
        <w:tc>
          <w:tcPr>
            <w:tcW w:w="4685" w:type="dxa"/>
            <w:tcBorders/>
            <w:shd w:fill="FFFFFF" w:val="clear"/>
            <w:vAlign w:val="center"/>
          </w:tcPr>
          <w:p>
            <w:pPr>
              <w:pStyle w:val="TableContents"/>
              <w:bidi w:val="0"/>
              <w:spacing w:before="0" w:after="283"/>
              <w:jc w:val="left"/>
              <w:rPr/>
            </w:pPr>
            <w:hyperlink w:anchor="a_023">
              <w:r>
                <w:rPr>
                  <w:rStyle w:val="InternetLink"/>
                  <w:rFonts w:ascii="Times New Roman;Times;Serif" w:hAnsi="Times New Roman;Times;Serif"/>
                  <w:sz w:val="20"/>
                </w:rPr>
                <w:t>Material Changes</w:t>
              </w:r>
            </w:hyperlink>
          </w:p>
        </w:tc>
        <w:tc>
          <w:tcPr>
            <w:tcW w:w="455" w:type="dxa"/>
            <w:tcBorders/>
            <w:shd w:fill="FFFFFF" w:val="clear"/>
            <w:vAlign w:val="center"/>
          </w:tcPr>
          <w:p>
            <w:pPr>
              <w:pStyle w:val="TableContents"/>
              <w:bidi w:val="0"/>
              <w:spacing w:before="0" w:after="283"/>
              <w:jc w:val="right"/>
              <w:rPr/>
            </w:pPr>
            <w:hyperlink w:anchor="a_023">
              <w:r>
                <w:rPr>
                  <w:rStyle w:val="InternetLink"/>
                  <w:rFonts w:ascii="Times New Roman;Times;Serif" w:hAnsi="Times New Roman;Times;Serif"/>
                  <w:sz w:val="20"/>
                </w:rPr>
                <w:t>23</w:t>
              </w:r>
            </w:hyperlink>
          </w:p>
        </w:tc>
      </w:tr>
      <w:tr>
        <w:trPr/>
        <w:tc>
          <w:tcPr>
            <w:tcW w:w="4685" w:type="dxa"/>
            <w:tcBorders/>
            <w:shd w:fill="CCEEFF" w:val="clear"/>
            <w:vAlign w:val="center"/>
          </w:tcPr>
          <w:p>
            <w:pPr>
              <w:pStyle w:val="TableContents"/>
              <w:bidi w:val="0"/>
              <w:spacing w:before="0" w:after="283"/>
              <w:jc w:val="left"/>
              <w:rPr/>
            </w:pPr>
            <w:hyperlink w:anchor="a_024">
              <w:r>
                <w:rPr>
                  <w:rStyle w:val="InternetLink"/>
                  <w:rFonts w:ascii="Times New Roman;Times;Serif" w:hAnsi="Times New Roman;Times;Serif"/>
                  <w:sz w:val="20"/>
                </w:rPr>
                <w:t>Legal Matters</w:t>
              </w:r>
            </w:hyperlink>
          </w:p>
        </w:tc>
        <w:tc>
          <w:tcPr>
            <w:tcW w:w="455" w:type="dxa"/>
            <w:tcBorders/>
            <w:shd w:fill="CCEEFF" w:val="clear"/>
            <w:vAlign w:val="center"/>
          </w:tcPr>
          <w:p>
            <w:pPr>
              <w:pStyle w:val="TableContents"/>
              <w:bidi w:val="0"/>
              <w:spacing w:before="0" w:after="283"/>
              <w:jc w:val="right"/>
              <w:rPr/>
            </w:pPr>
            <w:hyperlink w:anchor="a_024">
              <w:r>
                <w:rPr>
                  <w:rStyle w:val="InternetLink"/>
                  <w:rFonts w:ascii="Times New Roman;Times;Serif" w:hAnsi="Times New Roman;Times;Serif"/>
                  <w:sz w:val="20"/>
                </w:rPr>
                <w:t>24</w:t>
              </w:r>
            </w:hyperlink>
          </w:p>
        </w:tc>
      </w:tr>
      <w:tr>
        <w:trPr/>
        <w:tc>
          <w:tcPr>
            <w:tcW w:w="4685" w:type="dxa"/>
            <w:tcBorders/>
            <w:shd w:fill="FFFFFF" w:val="clear"/>
            <w:vAlign w:val="center"/>
          </w:tcPr>
          <w:p>
            <w:pPr>
              <w:pStyle w:val="TableContents"/>
              <w:bidi w:val="0"/>
              <w:spacing w:before="0" w:after="283"/>
              <w:jc w:val="left"/>
              <w:rPr/>
            </w:pPr>
            <w:hyperlink w:anchor="a_025">
              <w:r>
                <w:rPr>
                  <w:rStyle w:val="InternetLink"/>
                  <w:rFonts w:ascii="Times New Roman;Times;Serif" w:hAnsi="Times New Roman;Times;Serif"/>
                  <w:sz w:val="20"/>
                </w:rPr>
                <w:t>Experts</w:t>
              </w:r>
            </w:hyperlink>
          </w:p>
        </w:tc>
        <w:tc>
          <w:tcPr>
            <w:tcW w:w="455" w:type="dxa"/>
            <w:tcBorders/>
            <w:shd w:fill="FFFFFF" w:val="clear"/>
            <w:vAlign w:val="center"/>
          </w:tcPr>
          <w:p>
            <w:pPr>
              <w:pStyle w:val="TableContents"/>
              <w:bidi w:val="0"/>
              <w:spacing w:before="0" w:after="283"/>
              <w:jc w:val="right"/>
              <w:rPr/>
            </w:pPr>
            <w:hyperlink w:anchor="a_025">
              <w:r>
                <w:rPr>
                  <w:rStyle w:val="InternetLink"/>
                  <w:rFonts w:ascii="Times New Roman;Times;Serif" w:hAnsi="Times New Roman;Times;Serif"/>
                  <w:sz w:val="20"/>
                </w:rPr>
                <w:t>24</w:t>
              </w:r>
            </w:hyperlink>
          </w:p>
        </w:tc>
      </w:tr>
      <w:tr>
        <w:trPr/>
        <w:tc>
          <w:tcPr>
            <w:tcW w:w="4685" w:type="dxa"/>
            <w:tcBorders/>
            <w:shd w:fill="CCEEFF" w:val="clear"/>
            <w:vAlign w:val="center"/>
          </w:tcPr>
          <w:p>
            <w:pPr>
              <w:pStyle w:val="TableContents"/>
              <w:bidi w:val="0"/>
              <w:spacing w:before="0" w:after="283"/>
              <w:jc w:val="left"/>
              <w:rPr/>
            </w:pPr>
            <w:hyperlink w:anchor="a_026">
              <w:r>
                <w:rPr>
                  <w:rStyle w:val="InternetLink"/>
                  <w:rFonts w:ascii="Times New Roman;Times;Serif" w:hAnsi="Times New Roman;Times;Serif"/>
                  <w:sz w:val="20"/>
                </w:rPr>
                <w:t>Incorporation of Documents by Reference</w:t>
              </w:r>
            </w:hyperlink>
          </w:p>
        </w:tc>
        <w:tc>
          <w:tcPr>
            <w:tcW w:w="455" w:type="dxa"/>
            <w:tcBorders/>
            <w:shd w:fill="CCEEFF" w:val="clear"/>
            <w:vAlign w:val="center"/>
          </w:tcPr>
          <w:p>
            <w:pPr>
              <w:pStyle w:val="TableContents"/>
              <w:bidi w:val="0"/>
              <w:spacing w:before="0" w:after="283"/>
              <w:jc w:val="right"/>
              <w:rPr/>
            </w:pPr>
            <w:hyperlink w:anchor="a_026">
              <w:r>
                <w:rPr>
                  <w:rStyle w:val="InternetLink"/>
                  <w:rFonts w:ascii="Times New Roman;Times;Serif" w:hAnsi="Times New Roman;Times;Serif"/>
                  <w:sz w:val="20"/>
                </w:rPr>
                <w:t>24</w:t>
              </w:r>
            </w:hyperlink>
          </w:p>
        </w:tc>
      </w:tr>
      <w:tr>
        <w:trPr/>
        <w:tc>
          <w:tcPr>
            <w:tcW w:w="4685" w:type="dxa"/>
            <w:tcBorders/>
            <w:shd w:fill="FFFFFF" w:val="clear"/>
            <w:vAlign w:val="center"/>
          </w:tcPr>
          <w:p>
            <w:pPr>
              <w:pStyle w:val="TableContents"/>
              <w:bidi w:val="0"/>
              <w:spacing w:before="0" w:after="283"/>
              <w:jc w:val="left"/>
              <w:rPr/>
            </w:pPr>
            <w:hyperlink w:anchor="a_027">
              <w:r>
                <w:rPr>
                  <w:rStyle w:val="InternetLink"/>
                  <w:rFonts w:ascii="Times New Roman;Times;Serif" w:hAnsi="Times New Roman;Times;Serif"/>
                  <w:sz w:val="20"/>
                </w:rPr>
                <w:t>Where You Can Find Additional Information</w:t>
              </w:r>
            </w:hyperlink>
          </w:p>
        </w:tc>
        <w:tc>
          <w:tcPr>
            <w:tcW w:w="455" w:type="dxa"/>
            <w:tcBorders/>
            <w:shd w:fill="FFFFFF" w:val="clear"/>
            <w:vAlign w:val="center"/>
          </w:tcPr>
          <w:p>
            <w:pPr>
              <w:pStyle w:val="TableContents"/>
              <w:bidi w:val="0"/>
              <w:spacing w:before="0" w:after="283"/>
              <w:jc w:val="right"/>
              <w:rPr/>
            </w:pPr>
            <w:hyperlink w:anchor="a_027">
              <w:r>
                <w:rPr>
                  <w:rStyle w:val="InternetLink"/>
                  <w:rFonts w:ascii="Times New Roman;Times;Serif" w:hAnsi="Times New Roman;Times;Serif"/>
                  <w:sz w:val="20"/>
                </w:rPr>
                <w:t>25</w:t>
              </w:r>
            </w:hyperlink>
          </w:p>
        </w:tc>
      </w:tr>
      <w:tr>
        <w:trPr/>
        <w:tc>
          <w:tcPr>
            <w:tcW w:w="4685"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sz w:val="20"/>
                </w:rPr>
                <w:t>Enforceability of Civil Liabilities</w:t>
              </w:r>
            </w:hyperlink>
          </w:p>
        </w:tc>
        <w:tc>
          <w:tcPr>
            <w:tcW w:w="455" w:type="dxa"/>
            <w:tcBorders/>
            <w:shd w:fill="CCEEFF" w:val="clear"/>
            <w:vAlign w:val="center"/>
          </w:tcPr>
          <w:p>
            <w:pPr>
              <w:pStyle w:val="TableContents"/>
              <w:bidi w:val="0"/>
              <w:spacing w:before="0" w:after="283"/>
              <w:jc w:val="right"/>
              <w:rPr/>
            </w:pPr>
            <w:hyperlink w:anchor="a_028">
              <w:r>
                <w:rPr>
                  <w:rStyle w:val="InternetLink"/>
                  <w:rFonts w:ascii="Times New Roman;Times;Serif" w:hAnsi="Times New Roman;Times;Serif"/>
                  <w:sz w:val="20"/>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2"/>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U.S. Securities and Exchange Commission (the “SEC”) utilizing a “shelf” registration process. The term registration statement means the Prior Registration Statement and any and all amendments including the schedules and exhibits to the Prior Registration Statement and this registration statement, which is combined with the Prior Registration Statement pursuant to Rule 429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shelf registration process, we may sell the securities described in this prospectus in one or more offerings up to a total dollar amount of $296,000,000. The selling securityholders may, from time to time, offer and sell any combination of the securities described in this prospectus in one or more offerings. This prospectus generally describes the Company and our securities. The selling securityholders named in this prospectus may use the shelf registration statement to sell up to an aggregate of 43,415,633 Ordinary Shares through any means described in the section entitled “Plan of Distribution” beginning on page 23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This prospectus and any accompanying prospectus supplement do not contain all of the information included in the registration statement. We have omitted parts of the registration statement in accordance with the rules and regulations of the SEC. Statements contained in this prospectus and any accompanying prospectus supplement about the provisions or contents of any agreement or other documents are not necessarily complete. If the SEC rules and regulations require that an agreement or other document be filed as an exhibit to the registration statement, please see that agreement or document for a complete description of these matters. This prospectus may be supplemented by a prospectus supplement that may add, update, or change information contained or incorporated by reference in this prospectus. You should read both this prospectus and any prospectus supplement or other offering materials together with additional information described under the headings “Where You Can Find Additional Information” and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shelf registration, we will provide a prospectus supplement that will contain certain specific information about the terms of that offering, including a description of any risks related to the offering. A prospectus supplement may also add, update, or change information contained in this prospectus (including documents incorporated herein by reference). If there is any inconsistency between the information in this prospectus and the applicable prospectus supplement, you should rely on the information in the prospectus supplement. The registration statement we filed with the SEC includes exhibits that provide more details on the matters discussed in this prospectus. You should read this prospectus and the related exhibits filed with the SEC and the accompanying prospectus supplement together with additional information described under the headings “Incorporation of Documents by Reference” before investing in any of the securities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provided or incorporated by reference in this prospectus or in the prospectus supplement. Neither we nor the selling securityholders have authorized anyone to provide you with additional or different information. Neither we nor the selling securityholders take responsibility for, nor can we provide assurance as to the reliability of, any other information that others may provide. Neither we nor the selling securityholders are making an offer to sell these securities in any jurisdiction where the offer or sale is not permitted. You should assume that the information in this prospectus, any applicable prospectus supplement or any related free writing prospectus is accurate only as of the date on the front of the document and that any information incorporated by reference is accurate only as of the date of the document incorporated by reference, regardless of the time of delivery of this prospectus, any applicable prospectus supplement or any related free writing prospectus, or any sale of a security, unless we indicate otherwise. Our business, financial condition, results of operations and/or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3"/>
      <w:bookmarkEnd w:id="3"/>
      <w:r>
        <w:rPr>
          <w:rFonts w:ascii="Times New Roman;Times;Serif" w:hAnsi="Times New Roman;Times;Serif"/>
          <w:b/>
          <w:i w:val="false"/>
          <w:caps w:val="false"/>
          <w:smallCaps w:val="false"/>
          <w:sz w:val="20"/>
        </w:rPr>
        <w:t>COMMONLY USED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requires otherwise, references in this prospectus or in a prospectus supplement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
        <w:gridCol w:w="175"/>
        <w:gridCol w:w="9950"/>
      </w:tblGrid>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Business Combination” are the transactions contemplated by the share exchange agreement dated as of November 2, 2018 by and among CM Seven Star Acquisition Corporation, KAG and Moatable, pursuant to which we acquired 100% of the equity interests of KAG from Moatable on April 30, 2019;</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China” or the “PRC” are to the People’s Republic of China and “mainland China” refers to the People’s Republic of China, excluding Hong Kong, Macau and Taiwan;</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Dealerships” are to our dealership businesses operated by special purpose holding companies in which we possess majority ownership and voting control;</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Dealership Outlets” are to retail premises operated by our Dealerships;</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Haitaoche” are to Haitaoche Limited;</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Haitaoche Acquisition” are to the transaction closed on June 25, 2021 in which Kaixin issued to shareholders of Haitaochean aggregate of 74,035,502 ordinary shares of Kaixin in exchange of 100% share capital of Haitaoche;</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Hong Kong” or “HK” are to the Hong Kong Special Administrative Region of the PRC;</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Jieying Legal Representative” are to the former legal representative of Anhui Xin Jieying Auto Retail Co., Ltd., Mr. XiaoleiGu;</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KAG” are to Kaixin Auto Group, our wholly-owned subsidiary acquired from Moatable;</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Kaixin”, “we”, “us”, “our company” or “our” are to Kaixin Holdings (formerly known as Kaixin Auto Holdings), our Cayman Islands holding company and its subsidiaries;</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PRC subsidiaries” are to our subsidiaries incorporated in mainland China;</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xml:space="preserve">  </w:t>
            </w:r>
          </w:p>
        </w:tc>
        <w:tc>
          <w:tcPr>
            <w:tcW w:w="175" w:type="dxa"/>
            <w:tcBorders/>
            <w:vAlign w:val="center"/>
          </w:tcPr>
          <w:p>
            <w:pPr>
              <w:pStyle w:val="TableContents"/>
              <w:bidi w:val="0"/>
              <w:spacing w:before="0" w:after="283"/>
              <w:jc w:val="left"/>
              <w:rPr/>
            </w:pPr>
            <w:r>
              <w:rPr/>
              <w:t xml:space="preserve">● </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Ordinary Shares” are to our Class A Ordinary Shares, par value US$20.25 per share (as retroactively adjusted to reflect the 1-for-30 share consolidation approved by (i) the shareholders of the Company at the annual general meeting held on September 13, 2025 with the exact ratio to be determined by the board of directors of the Company and (ii) the board of directors of the Company by way of written board resolutions dated September 20, 2025 to fix the share consolidation ratio at 1-for-30);</w:t>
            </w:r>
            <w:r>
              <w:rPr/>
              <w:t xml:space="preserve">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Moatable” are to Moatable, Inc. (formerly known as Renren Inc.);</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PRC subsidiaries” are to our subsidiaries incorporated in mainland China;</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RMB” or “Renminbi” are to the legal currency of China;</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Shanghai Auto” are to Shanghai Renren Automotive Technology Group Co., Ltd., our wholly-owned PRC subsidiary;</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US$”, “U.S. dollars”, “$” or “dollars” are to the legal currency of the United States;</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U.S. GAAP” are to accounting principles generally accepted in the United States; and</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283"/>
              <w:jc w:val="both"/>
              <w:rPr/>
            </w:pPr>
            <w:r>
              <w:rPr/>
              <w:t> </w:t>
            </w:r>
          </w:p>
        </w:tc>
      </w:tr>
      <w:tr>
        <w:trPr/>
        <w:tc>
          <w:tcPr>
            <w:tcW w:w="8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9950" w:type="dxa"/>
            <w:tcBorders/>
            <w:vAlign w:val="center"/>
          </w:tcPr>
          <w:p>
            <w:pPr>
              <w:pStyle w:val="TableContents"/>
              <w:bidi w:val="0"/>
              <w:spacing w:before="0" w:after="283"/>
              <w:jc w:val="both"/>
              <w:rPr/>
            </w:pPr>
            <w:r>
              <w:rPr/>
              <w:t>“</w:t>
            </w:r>
            <w:r>
              <w:rPr>
                <w:rFonts w:ascii="Times New Roman;Times;Serif" w:hAnsi="Times New Roman;Times;Serif"/>
                <w:sz w:val="20"/>
              </w:rPr>
              <w:t>Variable interest entity”, “VIE” or “VIEs” are to our historical variable interest entities, Shanghai Qianxiang Changda Internet Information Technologies Development Co., Ltd. (“Qianxiang Changda”), Anhui Xin Jieying Auto Retail Co., Ltd.(“Anhui Xin Jieying”, former name as Zhejiang Jieying Auto Retail Co., Ltd. and Shanghai Jieying Auto Retail Co., Ltd.),Ningbo Jiusheng Automobile Sales and Services Co., Ltd. (“Ningbo Jiusheng”), and Qingdao Shengmeilianhe Import Automobile Sales Co., Ltd. (“Qingdao Shengmeilianhe”), which were no longer in a contractual arrangement with us since the completion of the disposal of Renren Finance Inc, on October 27, 2022 by KAG. VIEs were 100% owned by PRC citizens and a PRC entity owned by PRC citizens, and are consolidated into our consolidated financial statements for the period till the completion of the disposal of Renren Finance Inc, which was later named as Shanghai Wuxiajindongxue Technology Co., Ltd, in accordance with U.S. GAAP as if they were our wholly-owned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4"/>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our SEC filings that are incorporated by reference into this prospectus may contain or incorporate by reference forward-looking statements within the meaning of Section 27A of the Securities Act and Section 21E of the Securities Exchange Act of 1934, as amended (the “Exchange Act”). Many of the forward-looking statements contained in this prospectus can be identified by the use of forward-looking words such as “anticipate,” “believe,” “could,” “expect,” “should,” “plan,” “intend,” “estimate,” and “potential,” among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appear in a number of places in this prospectus, an applicable prospectus supplement, and our SEC filings that are incorporated by reference into this prospectus. These forward-looking statements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Information—D. Risk Factors” in our annual report on Form 20-F for the fiscal year ended December 31, 2025. These risks and uncertainties include factors relating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goals and growth strategies;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business development, results of operations, and financial condition;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growth of the PRC automotive and related industries;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demand for, and market acceptance of, our products and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relationships with distributors, customers, suppliers, strategic partners and other stakeholders;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our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factors that may affect our financial condition, liquidity, and results of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“Item 3. Key Information—D. Risk Factors” in our annual report on Form 20-F for the fiscal year ended December 31, 2025;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assumptions underlying or related to any of the foregoing.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You are cautioned to consider these and any other factors that are discussed in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elsewhere in this prospectus, in our most recent annual report on Form 20-F, and in any prospectus supplement or documents we incorporate by reference into this prospectus. These risks are not exhaustive. These risks could cause actual results to differ materially from those implied by forward-looking statements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5"/>
      <w:bookmarkEnd w:id="5"/>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Holding Company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is not an operating company in China, but a Cayman Islands holding company. We conduct our operations in mainland China through our PRC subsidiaries. As used in this Annual Report, “we”, “us”, “our Company”, “the Company” or “our” refers to Kaixin Holdings (formerly known as Kaixin Auto Holdings), a Cayman Islands company and its subsidiaries. Investors of our ordinary shares are not purchasing equity interest in our operating entities in China but instead are purchasing equity interest in a Cayman Islands holding company. The chart below sets forth our corporate structure and identifies our subsidiaries and their subsidiaries, as of the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38925" cy="442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38925" cy="44291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 VIEs in the PRC and we conduct our operations exclusively through our wholly-owned subsidiaries. Historically, as a Cayman Islands holding company, we conduct our operations in China through our PRC subsidiaries and the VIEs. To mitigate the uncertainties in our corporate structure and exert full control on our operating entities, we transferred operations in the VIEs to our wholly-owned entities and disposed of Renren Finance, Inc, which was our wholly-owned subsidiary that contractually controls the VIEs. As a result, all VIEs were disposed as of October 27,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primarily engaged in the sales of domestic and imported automobiles in the PRC. We are committed to providing superior car purchase and ownership experiences to our customers. Our passion and professionalism build trust and long-term customer loyalty.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auto sales company in China. As of December 31, 2025, we had one Dealership covering the major market in China. On average, our Dealership operators have over ten years of experience in the car sales industry. We provide car buyers in China with access to a wide selection of used vehicles across our network of Dealerships, with a focus on premium brands, such as Audi, BMW, Mercedes-Benz, Land Rover, Bentley, Rolls-Royce, and Porsche.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is the world’s largest automotive market both in demand and supply in 2025. On June 25, 2021, we closed the Haitaoche Acquisition. Haitaoche is a China-based merchant for domestic and imported automobiles. The manufacture and distribution of automobiles are undergoing significant changes in China, which are expected to create new opportunities and business models. Haitaoche strives to become a leading automobile retail platform in China. In addition to maintaining its domestic and imported new car sales business, it plans to expand into electronic vehicles and other business areas. Haitaoche aims to enter into strategic cooperation agreements with multiple electronic vehicle manufacturers in China and serve a wider group of distributors and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sourced, marketed, and sold approximately 525, nil, and nil vehicles to customers across China in 2023, 2024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actively looking for opportunities to expand into the business area of electronic vehicles. We set up the New Energy Vehicles Department in 2021 and delivered the new NEV prototype to our customers at the end of 2022. We released our new energy vehicle strategic plan on December 1, 2021, and we target to quickly expand our new energy vehicle team and start developing commercial new energy vehicles for intra-city and inter-city logistics applications in the initial stage.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Propositions to Car Buyers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integrated online and offline sales channels to car buyers, aiming to create a superior and convenient vehicle purchase experience. We provide high-quality photos of the vehicles we sell from multiple angles, allowing consumers to browse our inventory online and attract them to physically visit our Dealership Outlets. Our offline presence with professional sales staff and a comprehensive showroom experience provides convenience to the buyers, who typically want to view the car in person, understand its history, take it for a test drive and establish trust before making a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nationwide inventory, which undergoes our inspection process and reconditioning process for quality assurance, is optimized based on market insights into popular models and pricing trends through our technology systems. Our customer support specialists are available to answer customers’ questions that arise throughout the process. At every transaction milestone, we strive to provide the level of customer service that makes purchasing a car an enjoyable and memorable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have pioneered an innovative business model, under which it had obtained control of Dealerships across China, providing them with an integrated technology system, centralized operational control and management, a unified brand and capital support. Kaixin primarily generate revenues from sales of new and used cars. Of the Dealerships’ total revenues in 2023, 2024 and 2025, revenues from auto sales accounted for 100%, 0% and 0% respectively. Following the consummation of the Haitaoche Acquisition in June 2021, our car sales business gradually resumed operations in the majority of the Dealership locations, which complement the new car sales in the Haitaoche business unit. During 2022, the Company terminated cooperation with several dealerships that underperformed against our expectations and downsized our dealerships network to three dealerships.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Dealership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one Dealership. Our network of Dealerships is focused primarily on tier 2 and below cities, where we believe the mix of cost structure, consumers’ demand and opportunity for growth is most favorable.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Dealership Evaluation and Selection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expanding our network of Dealerships, we carefully consider potential markets and conduct a systematic evaluation of each potential new site, using a scoring system that we have developed internally. In our scoring system, we consider a number of factors in the area served, including:</w:t>
      </w:r>
    </w:p>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85"/>
        <w:gridCol w:w="702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 nature and quality;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population density;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 distribution and average disposable income of consumers;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spending patterns, dining habits and frequency of consumers;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locations of other car dealerships;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customer traffic;</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structure of the dealership, including availability of showroom and parking space;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costs, lease economics and estimated return on investments.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of Dealerships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operating model for our auto sales business, which we believe aligns the economic interests of our Dealerships with our overall business. We provide capital, a unified brand, technology system and operational coordination to our Dealerships, in which we retain majority control. Under this model, all of the cash flows, operational activities and financial and accounting recordkeeping across our Dealerships are centrally managed. We believe that our dealership model promotes customer loyalty and provides significant operational advantages, by introducing standard practices, such as operational rules, legal documentation and processes. It also creates a common culture to promote bonding and buy-in among our direct employees, dealers and other workers.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internal team for Dealership management is responsible for development and expansion of our Dealership network. One of their responsibilities is to monitor the compliance with the operational obligations for the management of our Dealerships. In the event that the operating obligations as agreed in the equity purchase agreement are not fulfilled, we are entitled to recourse against the seller of the Dealership or terminate the equity purchase agreement. We also have the option to terminate the equity purchase agreement in certain circumstances, including but not limited to, the death or incapacity of the seller, issues of integrity or criminal conviction of the seller, material default by the seller, or our failure to complete an initial public offering within three years following signing of the relevant equity purchase agreement due to third-party reasons or force majeure. A seller may suspend or terminate Dealership services voluntarily or involuntarily due to various reasons, including our failure to complete an initial public offering within three years following entry into the relevant equity purchase agreement for reasons other than third-party reasons or force majeure. In connection with the Business Combination, we entered into amendment agreements with Dealership operators in January 2019 pursuant to which it was confirmed that the Business Combination qualifies as an initial public offering, that shares payable to the Dealership operators as consideration shall be adjusted to reflect the earnout and indemnification arrangements in the Business Combination, and that Moatable will be responsible for settling contingent obligations to Dealership operators.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our Dealerships are described in further details below under “—Certain Legal Arrangements — Legal Arrangements with Dealerships”.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the NEV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integrating the operations and resources of Haitaoche with the used car dealership business, we are currently engaged in the sales of both new and used, domestic and imported automobiles and will be actively looking for opportunities to expand into the business area of electronic vehicles. We released our new energy vehicle strategic plan on December 1, 2021, and we target to quickly expand our new energy vehicle team and start with developing commercial new energy vehicles for intra-city and inter-city logistics applications in the initial stage. Reference is made to the Form 6-K which the Company filed with SEC on August 26, 2021, the Company has reached a binding term sheet to acquire 100% equity interest of Yujie through new share issuance. Yujie is a Chinese electronic vehicles (“EV”) manufacturer specialized in small size multi-function EVs. On September 26, 2022, the Company signed a binding acquisition term sheet with Wuxi Morning Star Technology Co., Ltd. (“Wuxi Morning Star”), who manufactures and operates the POCCO EVs. According to the term sheet, the Company intends to acquire 100% equity interest of Wuxi Morning Star through new share issuance and makes it a wholly owned subsidiary (the “Wuxi Morning Star Acquisition”). As consideration for the Wuxi Morning Star Acquisition, the Company agreed to issue ordinary shares of Kaixin to the shareholders of Wuxi Morning Star Morning Star with market value of 100 million as determined by the average of the closing prices of last five trading days before the entering date of Share Purchase Agreement. On November 2, 2022, the Company signed a share purchase agreement with the shareholders of Morning Star Auto Inc. (“Morning Star”), to acquire 100% equity interest of Morning Star by issuing 100 million ordinary shares of Kaixin. Morning Star owns 100% equity interest of Wuxi Morning Star and 40% equity interest of Yujie. On August 22, 2023, the acquisition of Morning Star completed, after which Kaixin owns all assets and business operations related to POCCO EVs, which constitutes big progress toward Kaixin’s successful transformation into a new energy vehicle manufacturing company. In December 2024, the Company disposed of Morning Star.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Agreements with Dealerships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 series of legal arrangements with our Dealerships and other related parties since 2021, which are generally designed for the compliance with PRC laws and regulations and for value-added tax optimization purposes. Revenue for 2022 and 2023 was primarily generated from transactions under these agreements and we expect future revenue from automobile sales to be primarily generated from transactions under these ancillary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typical key terms of the agreements which we entered into in connection with our auto sales operations since 2021. We may depart from these terms from time to time based on local conditions, counterparty’s demands, tax or regulatory considerations or other reasons.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Used Vehicle Purchase Agreement. Pursuant to the agreement among the owner of a used car as seller, the Jieying Legal Representative as purchaser, and a Dealership employee, as registered owner:</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8" w:type="dxa"/>
            <w:tcBorders/>
            <w:vAlign w:val="center"/>
          </w:tcPr>
          <w:p>
            <w:pPr>
              <w:pStyle w:val="TableContents"/>
              <w:bidi w:val="0"/>
              <w:spacing w:before="0" w:after="283"/>
              <w:jc w:val="both"/>
              <w:rPr/>
            </w:pPr>
            <w:r>
              <w:rPr/>
              <w:t>The Jieying Legal Representative is to purchase the used car and register it in the name of a designated employee of the relevant Dealership.</w:t>
            </w:r>
          </w:p>
        </w:tc>
      </w:tr>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8" w:type="dxa"/>
            <w:tcBorders/>
            <w:vAlign w:val="center"/>
          </w:tcPr>
          <w:p>
            <w:pPr>
              <w:pStyle w:val="TableContents"/>
              <w:bidi w:val="0"/>
              <w:spacing w:before="0" w:after="283"/>
              <w:jc w:val="both"/>
              <w:rPr/>
            </w:pPr>
            <w:r>
              <w:rPr/>
              <w:t>Anhui Xin Jieying provides technology consulting services and operational management system services to the Jieying Legal Representative, who in turn pays service fees to Anhui Xin Jieying.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Used Car Agency Services Agreement. Pursuant to the agreement between the Jieying Legal Representative and the relevant Dealership:</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The Dealership entrusts Jieying Legal Representative to purchase, sell, manage, repair and show used cars on its behalf.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The Jieying Legal Representative is to complete the transfer procedures for the purchase and sale of automobiles.</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Vehicle Consignment Agreement. Pursuant to the agreement between the Jieying Legal Representative, as principal, and a Dealership employee, as agent:</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The Jieying Legal Representative authorizes the Dealership employee to purchase a vehicle on his or her behalf.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The Jieying Legal Representative authorizes the Dealership employee to register such Dealership employee as the named transferee of the vehicle and the owner of the vehicle, while the Jieying Legal Representative retains legal ownership of the vehicle.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When the vehicle is sold by the Jieying Legal Representative, the Dealership employee is responsible to handle third-party transfer procedures in a timely manner.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Loan and Service Agreement. Pursuant to the agreement between the Jieying Legal Representative, as borrower, and Anhui Xin Jieying, as lender:</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Anhui Xin Jieying provides loans to the Jieying Legal Representative for purchasing used cars.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Proceeds from the used cars sold by the Jieying Legal Representative on behalf of Anhui Xin Jieying are used in their entirety to repay the loan. Proceeds in excess of the principal are designated as a service fee paid to Anhui Xin Jieying from the Jieying Legal Representative.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Used Vehicle Sales Agreement. Pursuant to the agreement among the Jieying Legal Representative, as seller, a customer, as purchaser, a designated Dealership employee, as the registration transferor, and the Dealership, as service provider:</w:t>
            </w:r>
          </w:p>
        </w:tc>
      </w:tr>
    </w:tbl>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When the Jieying Legal Representative sells a used car to the customer, the automobile registration is transferred from the Dealership employee to the customer. The sale proceeds are transferred to the account designated by the management of Anhui Xin Jieying.</w:t>
            </w:r>
          </w:p>
        </w:tc>
      </w:tr>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both"/>
              <w:rPr/>
            </w:pPr>
            <w:r>
              <w:rPr/>
              <w:t>o</w:t>
            </w:r>
          </w:p>
        </w:tc>
        <w:tc>
          <w:tcPr>
            <w:tcW w:w="10027" w:type="dxa"/>
            <w:tcBorders/>
            <w:vAlign w:val="center"/>
          </w:tcPr>
          <w:p>
            <w:pPr>
              <w:pStyle w:val="TableContents"/>
              <w:bidi w:val="0"/>
              <w:spacing w:before="0" w:after="283"/>
              <w:jc w:val="both"/>
              <w:rPr/>
            </w:pPr>
            <w:r>
              <w:rPr/>
              <w:t>Anhui Xin Jieying provides technology consulting services and operational management system services to the Jieying Legal Representative, who in turn pays service fees to Anhui Xin Jieying, which are deducted from the proceeds of the car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illustrate, when we source an automobile pursuant to a Used Vehicle Purchase Agreement, the seller is entitled to payment for the car, and the legal title is transferred to the Jieying Legal Representative, with the registration in the name of a Dealership employee. The Jieying Legal Representative is authorized to enter into this purchase agreement pursuant to the Used Car Agency Services Agreement, and the Dealership employee similarly is authorized to enter into the agreement pursuant to the Vehicle Consignment Agreement. Funds are paid by Anhui Xin Jieying through the Dealership to the seller of the car.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used car is sold, the Jieying Legal Representative transfers the legal ownership to the purchaser, while the Dealership employee completes the registration transfer from his or her name to the name of the purchaser. The proceeds are remitted to Anhui Xin Jieying.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agreements, neither the Jieying Legal Representative nor the Dealership employee bears any risk of loss or has any future economic benefits. Neither party ever places their own funds at risk and any potential losses resulting from the purchase and sale of the car are borne by Anhui Xin Jieying. Similarly, neither of these individuals is able to benefit from the expected increase in the price of the car resulting from completion of sale to a third-party customer; all of the future economic benefit is remitted directly to Anhui Xin Jieying. Additionally, Anhui Xin Jieying effectively controls the entire process starting from the purchase of the car, including from whom to purchase a car, the purchase price, and ultimately the sale of the car to a third party. In addition, Anhui Xin Jieying has the sole discretion as to which Jieying Legal Representative will enter into the Loan and Service Agreement with Anhui Xin Jieying and to which Dealership employee that it will assign to complete the registration of the car. Furthermore, it is within Anhui Xin Jieying’s sole power to redirect the Loan and Service Agreement, title and registration of the car.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arrangement with noncontrolling shareholders of dealerships over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from 2019, due to disagreements with certain noncontrolling shareholders on operational matters, some noncontrolling shareholders detained the Company’s inventories in certain dealerships. Due to the uncertainty in realizing inventory held by these dealerships and prepayments made to these dealerships for future car purchases, Kaixin wrote down a significant amount of inventory and prepayments in 2019. The Company has had ongoing negotiations with these noncontrolling shareholders and the Company has reached settlement agreements with some of these noncontrolling shareholders in the second half of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key terms of the settlement agreements which we entered into with certain noncontrolling shareholders. We may depart from these terms from time to time based on local conditions, counterparty’s demands, or other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Used Car Agency Services Agreement. Pursuant to the agreement among Anhui Xin Jieying, the relevant Dealership and the noncontrolling shareholders of such Dealership: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noncontrolling shareholders agree to repay a settlement amount in the form of inventory and/or repayment of prepayment to Anhui Xin Jieying based on a set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Equity Purchase Agreement. Pursuant to the agreement among Anhui Xin Jieying and the noncontrolling shareholders of relevant Dealership: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Anhui Xin Jieying commits to furnish the noncontrolling shareholders a certain number of the Company’s ordinary shares following a schedule tied to the noncontrolling shareholders’ performance of settlement payment duties as specified in the Amendments to Used Car Agency Services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number of the Company’s ordinary shares include shares in the First Payment and Subsequent Payments as specified in the Equity Purchase Agreement, plus certain extra bonus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Financial Leasing Settlement Agreement. Pursuant to the agreement among Shanghai Renren Financial Leasing Co, Ltd. and the noncontrolling shareholders of relevant Dealership: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noncontrolling shareholders agree to repay Shanghai Renren Financial Leasing Co, Ltd. the outstanding balance of financial leasing payables following a schedule tie to the controlling shareholders’ receipts of settlement shares as specified in the Amendments to Equity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Automobile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customer base is similar to the overall market for premium automobiles. To date, the growth of our automobile sales business has primarily been through customer referrals. We also believe that our strong customer focus ensures customer loyalty which will drive both repeat purchases and referrals. Our sales are primarily made in-store, but we have invested heavily in online sales channels, including through the Kaixin app and web interfaces. We believe that this is a key advantage over our competitors, whether traditional dealers, who do not have a strong online presence, or online-only competitors, who lack the offline infrastructure and in-store experiences that we are able to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Marketing and Brand Promotion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brand recognition is important to our ability to attract users. We co-brand our Dealerships, many of which have an established local brand, to associate their existing brands with the Kaixin brand. “Kaixin” means “happiness” in Chinese and has had strong impact and positive responses in other applications. By empowering our Dealerships with this highly recognizable brand name, we aim to help them gain further credibility and trustworthiness.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user recognition of our Kaixin brand has primarily grown organically and by referrals, and we have built our brand with modest marketing and brand promotion expenditures. To encourage such organic growth, we focus on continuously improving the quality of our services, as we believe that satisfied customers and their friends are more likely to recommend our services to others. In addition, we work with Dealerships on marketing initiatives to further leverage our brand value. Our Dealerships also engage in certain other promotional activities, including placement of local radio 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future sales and marketing expenses will consist primarily of performance-based advertising, with the focus of driving traffic that will translate into customer purchases. We expect that these advertisements will generally fall into three areas: vertical automotive media, selected online channels and selected offline channels. In addition to paid channels, we intend to attract new customers through enhancing our media and public relations efforts, including organic marketing to enhance its reputation. Although we may have to expand our promotions from time to time, especially when we launch new services or products, we expect that our marketing expenses for these promotions will be relatively small when compared to those of our principal competitors.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Dealerships has a team of customer support specialists who provide assistance to the customers. Our specialists are available to assist customers with questions that arise throughout the car purchase process. These specialists are available via online chat or telephone and help our customers to navigate the website, answer specific questions and assist in loan applications. We take a consultative approach with customers, offering live support and acting as a trusted partner to guide them through each phase of the purchase lifecycle. We are committed to providing customers with a high-quality transaction experience. The effectiveness of our Kaixin model is reflected in our strong customer referrals. We focus on developing our customer support specialists and providing them with the information and resources that they need to offer exceptional customer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automobile marketplace is highly fragmented. We primarily compete on the basis of our deep understanding of consumers’ needs and offering of numerous product choices from our substantial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includes trademarks and trademark applications related to our brands and services, copyrights in software, trade secrets, patent applications and other intellectual property rights and licenses. We seek to protect our intellectual property assets and brand through a combination of monitoring and enforcement of trademark, patent, copyright and trade secret protection laws in the PRC and other jurisdictions, as well as through confidentiality agreements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rFonts w:ascii="Times New Roman;Times;Serif" w:hAnsi="Times New Roman;Times;Serif"/>
          <w:b w:val="false"/>
          <w:i w:val="false"/>
          <w:caps w:val="false"/>
          <w:smallCaps w:val="false"/>
          <w:sz w:val="20"/>
        </w:rPr>
        <w:t>In March 2018, Moatable transferred to us the kaixin.com domain name and, in May 2018, an affiliate of Moatable granted us an exclusive license to use its “Kaixin” brand. Further, we have successfully registered our brand name “</w:t>
      </w:r>
      <w:r>
        <w:rPr>
          <w:rFonts w:eastAsia="Times New Roman;Times;Serif"/>
          <w:b w:val="false"/>
          <w:i w:val="false"/>
          <w:caps w:val="false"/>
          <w:smallCaps w:val="false"/>
          <w:sz w:val="20"/>
        </w:rPr>
        <w:t xml:space="preserve">开心汽车” </w:t>
      </w:r>
      <w:r>
        <w:rPr>
          <w:rFonts w:ascii="Times New Roman;Times;Serif" w:hAnsi="Times New Roman;Times;Serif"/>
          <w:b w:val="false"/>
          <w:i w:val="false"/>
          <w:caps w:val="false"/>
          <w:smallCaps w:val="false"/>
          <w:sz w:val="20"/>
        </w:rPr>
        <w:t>which translates to “Kaixin Auto” in class 35 for services including promotion for others, purchase for others, providing online markets for sellers and purchasers of goods and services, marketing, etc., which is crucial to our business. However, trademark registrations in other categories related but less crucial to our business, including automobile maintenance, have not been obtained by us or an affiliate of Moatable. Therefore, for such business, we are unable to prevent any third party from using the Kaixin brand for business that is the same or similar to ours. As China has adopted a “first-to-file” trademark registration system and there are trademarks similar to our brand which have been registered in those categories that are related to our business, we may not be able to successfully register our brand and may be exposed to risk of infringement with respect to third party trademark rights. For further details, see “Item 3. Key Information — D. Risk Factors — Risks Related to Our Business and Industry — We may be unable to prevent others from unauthorized use of its intellectual property, which could harm its business and competitive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automobile sales business is affected by seasonality in automobile sales, which tends to affect dealers’ needs for financing for new inventory. Automobile sales tend to be lower in the first quarter of each year than in the other three quarters due to the effect of the Chinese New Year holiday. As our auto sales business is still growing rapidly, seasonality may be less evident than it otherwise would be, and as the business continues to evolve, the nature of seasonality may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ordinary shares involves significant risks. You should carefully consider all of the information in this prospectus before making an investment in our ordinary shares. Below please find a summary of the principal risks we face, organized under relevant headings. These risks are discussed more fully in the section titled “Item 3. Key Information—D. Risk Factors” in our most recent annual report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Business and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related to our business and industry include, but are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history of losses and negative cash flows from operating activities, and we may not achieve or maintain profitability in the future;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have a limited operating history in the automobile sales business. Our historical financial and operating performance may not be indicative of, or comparable to, its future prospects and results of operations;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and Dealerships conduct various aspects of our business, and we face risks associated with our Dealerships, their employees and other personnel;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and us may not be able to successfully expand or maintain our network of Dealerships;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Dealerships conduct various aspects of our business, and we face risks associated with our Dealerships, their employees and other personnel.</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difficulties in identifying, consummating and integrating acquisitions, investments or alliances may expose us to potential risks and have an adverse effect on our business, results of operations or financial condition;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success depends upon the continued contributions of our sales representatives;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additional capital to pursue our business objectives and respond to business opportunities, challenges or unforeseen circumstances, and financing may not be available on terms acceptable to us,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discussions of these risks, see “Item 3. Key Information — D. Risk Factors—Risks Related to Our Business and Industry” on page 11 of our annual report on Form 20-F for the fiscal year ended December 31, 2025, filed with the SEC on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Corporate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relating to our corporate structure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Investing in our securities is highly speculative and involves a significant degree of risk as we are a holding company incorporated in the Cayman Islands and historically operate our business through VIE structure. To the extent cash or assets in the business are in the PRC/Hong Kong or a PRC/Hong Kong entity, funds or assets may not be available to fund operations or for other use outside of the PRC/Hong Kong due to interventions in or the imposition of restrictions and limitations on the ability of the holding company or its subsidiaries by the PRC government to transfer cash or assets.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adjustment of corporate structure and business operations and the termination of contractual arrangements with the VIEs may not be liability-free.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discussions of these risks, see page 25 of our annual report on Form 20-F for the fiscal year ended December 31, 2025, filed with the SEC on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our subsidiaries and the PRC operating entities are also subject to risks and uncertainties relating to doing business in China in general, including,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Chinese government may exert substantial influence over the manner in which we must conduct our business activities. We are required to file with the CSRC within 3 working days after the subsequent securities offering is completed and we might face warnings or fines if we fail to fulfill related filing procedure. We may become subject to more stringent requirements with respect to matters including cross-border investigation and enforcement of legal claims.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Recent regulatory initiatives implemented by the PRC competent government authorities on cyberspace data security may have introduced uncertainty in our business operations and compliance status, which could result in materially adverse impact on our business, results of operations and our listing on Nasdaq.</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may be difficult for overseas shareholders and/or regulators to conduct investigations or collect evidence within China.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China’s economic, political or social conditions or government policies could have a material adverse effect on our business and operations. The PRC government has significant authority in regulating our operations and may influence or intervene in our operations at any time. Actions by the PRC government to exert more control over offerings conducted overseas by, and foreign investment in, China-based issuers could result in a material change in our operations, and significantly limit or completely hinder our ability to continue to offer securities to investors and cause the value of such securities to significantly decline or be worthless. In such events, our securities could decline in value or become worthless.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PCAOB is unable to inspect our auditors as required under the Holding Foreign Companies Accountable Act, the SEC will prohibit the trading of our shares. A trading prohibition for our shares, or the threat of a trading prohibition, may materially and adversely affect the value of your investment. Additionally, the inability of the PCAOB to conduct inspections of our auditors, if any, would deprive our investors of the benefits of such inspections.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with respect to the interpretation and enforcement of PRC laws, rules and regulations and the fact that rules and regulations in mainland China can change quickly with little advance notice could adversely affect us. Such uncertainties could limit the legal protections available to you and us, hinder our ability and the ability of any holder of our securities to offer or continue to offer such securities, result in a material adverse change to our business operations, which would materially and adversely affect our financial condition and results of operations and cause our securities to significantly decline in value or become worthless;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discussions of these risks, see “Risk Factors—Risks Related to Doing Business in China” of this prospectus and page 26 of our annual report on Form 20-F for the fiscal year ended December 31, 2025, filed with the SEC on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and uncertainties described above, we are subject to risks relating to our ordinary shares,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movement of our ordinary shares may be volatile.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sale or availability for sale of substantial amounts of our ordinary shares could adversely affect their market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securities or industry analysts do not publish research or reports about our business, or if they adversely change their recommendations regarding our ordinary shares, the market price for our ordinary shares and trading volume could decline.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need additional capital, and the sale of additional ordinary shares or other equity securities could result in the additional dilution to our shareholders, while the incurrence of debt may impose restrictions on our operations.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a foreign private issuer within the meaning of the rules under the Exchange Act, and as such we are exempt from certain provisions applicable to United States domestic public companies.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we cannot continue to satisfy the continued listing requirements and other rules of the Nasdaq Stock Market, our securities may be delisted, which could negatively impact the price of our securities and your ability to sell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detailed discussions of these risks, see “Item 3. Key Information — D. Risk Factors—Risks Related to our Ordinary Shares” on page 41 of our annual report on Form 20-F for the fiscal year ended December 31, 2025, filed with the SEC on April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through our subsidiaries in China. Our operations in China are governed by PRC laws and regulations. As of the date of this prospectus, our Company and our subsidiaries have not been involved in any investigations or review initiated by any PRC regulatory authority, not has any of them received any inquiry, notice or sanction for our operations or our issuance of securities to investors. Nevertheless, the SCNPC or PRC regulatory authorities may in the future promulgate laws, regulations or implementing rules that requires us and our subsidiaries to obtain permissions from PRC regulatory authorities to conduct business operations in China.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of the date of this prospectus, except for business license, foreign investment information report to the commerce administrative authority and foreign exchange registration or filing, our consolidated affiliated Chinese entities do not have to obtain any requisite licenses and permits from the PRC government authorities that are material for the business operations of our holding company and our subsidiaries in China. However, given the uncertainties of interpretation and implementation of relevant laws and regulations and the enforcement practice by government authorities, we may be required to obtain certain licenses, permits, filings or approvals for the functions and services that we provided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Complex Building Room 211,18 Dong Quan Avenue, Luoyang Town, Taishun County, Wenzhou, Zhejiang Province, People’s Republic of China Our telephone number at this address is +86 10 6720 4948. Our registered office is situated at the office of Harneys Fiduciary (Cayman) Limited, 4th Floor, Harbour Place, 103 South Church Street, P.O. Box 10240, Grand Cayman KY1-1002, Cayman Islands. Our agent for service of process in the United States is Registrants Global LLC, located at 715 Todville Road, Unit A, Seabrook, Texas 77586.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should submit any inquiries to the address or through the telephone number of our principal executive offices. Our main website is </w:t>
      </w:r>
      <w:r>
        <w:rPr>
          <w:rFonts w:ascii="Times New Roman;Times;Serif" w:hAnsi="Times New Roman;Times;Serif"/>
          <w:b w:val="false"/>
          <w:i w:val="false"/>
          <w:caps w:val="false"/>
          <w:smallCaps w:val="false"/>
          <w:sz w:val="20"/>
          <w:u w:val="single"/>
        </w:rPr>
        <w:t>http://ir.kaixin.com</w:t>
      </w:r>
      <w:r>
        <w:rPr>
          <w:rFonts w:ascii="Times New Roman;Times;Serif" w:hAnsi="Times New Roman;Times;Serif"/>
          <w:b w:val="false"/>
          <w:i w:val="false"/>
          <w:caps w:val="false"/>
          <w:smallCaps w:val="false"/>
          <w:sz w:val="20"/>
        </w:rPr>
        <w:t>. The information contained on our website is not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6"/>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Investing in our securities involves risks. Before making an investment decision, you should carefully consider the risks described under “Risk Factors” below, in the applicable prospectus supplement and under the heading “Item 3. Key Information—D. Risk Factors” in our </w:t>
      </w:r>
      <w:hyperlink r:id="rId4">
        <w:r>
          <w:rPr>
            <w:rStyle w:val="InternetLink"/>
            <w:rFonts w:ascii="Times New Roman;Times;Serif" w:hAnsi="Times New Roman;Times;Serif"/>
            <w:b w:val="false"/>
            <w:i w:val="false"/>
            <w:caps w:val="false"/>
            <w:smallCaps w:val="false"/>
            <w:sz w:val="20"/>
          </w:rPr>
          <w:t>annual report on Form 20-F for the fiscal year ended December 31, 2025</w:t>
        </w:r>
      </w:hyperlink>
      <w:r>
        <w:rPr>
          <w:rFonts w:ascii="Times New Roman;Times;Serif" w:hAnsi="Times New Roman;Times;Serif"/>
          <w:b w:val="false"/>
          <w:i w:val="false"/>
          <w:caps w:val="false"/>
          <w:smallCaps w:val="false"/>
          <w:sz w:val="20"/>
        </w:rPr>
        <w:t>, or any updates in our reports on Form 6-K, together with all of the other information appearing in, or incorporated by reference into, under the Exchange Act that are incorporated herein by reference into, this prospectus and any applicable prospectus supplement, in light of your particular investment objectives and financial circumstances. In addition to those risk factors, there may be additional risks and uncertainties of which management is not aware or focused on or that management deems immaterial. Our business, financial condition, or results of operations could be materially adversely affected by any of these risks. The trading price of our securities could decline due to any of these risks, and you may lose all or part of your investment. See the sections of this prospectus entitled “Where You Can Find More Information” and “Incorporation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7"/>
      <w:bookmarkEnd w:id="7"/>
      <w:r>
        <w:rPr>
          <w:rFonts w:ascii="Times New Roman;Times;Serif" w:hAnsi="Times New Roman;Times;Serif"/>
          <w:b/>
          <w:i w:val="false"/>
          <w:caps w:val="false"/>
          <w:smallCaps w:val="false"/>
          <w:sz w:val="20"/>
        </w:rPr>
        <w:t>OFFER STATISTICS AND EXPECTED TIMETABLE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offer and sell any combination of the securities described in this prospectus (as may be detailed in a prospectus supplement) up to a total dollar amount of US$296,000,000 in one or more offerings. The selling securityholders may sell from time to time pursuant to this prospectus up to an aggregate of 43,415,633 Ordinary Shares in this registration statement (including 199,572 Ordinary Shares, 2,000,000 Ordinary Shares issuable upon the conversion of 2,000 convertible Series F Preferred Shares, 12,800,000 Ordinary Shares issuable upon the conversion of 12,800 convertible Series G Preferred Shares, 7,366,424 Ordinary Shares issuable upon the conversion of 7,366 convertible Series H Preferred Shares, 10,000,000 Ordinary Shares issuable upon the conversion of 10,000 convertible Series I Preferred Shares and 11,049,637 Ordinary Shares issuable upon the exercise of 11,049,637 warrants). The securities offered under this prospectus may be offered separately, together, or in separate series, and in amounts, at prices, and on terms to be determined at the time of sale. See “Plan of Distribution.” We will keep the registration statement of which this prospectus is a part effective until such time as all of the securities covered by this prospectus have been disposed of pursuant to and in accordance with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8"/>
      <w:bookmarkEnd w:id="8"/>
      <w:r>
        <w:rPr>
          <w:rFonts w:ascii="Times New Roman;Times;Serif" w:hAnsi="Times New Roman;Times;Serif"/>
          <w:b/>
          <w:i w:val="false"/>
          <w:caps w:val="false"/>
          <w:smallCaps w:val="false"/>
          <w:sz w:val="20"/>
        </w:rPr>
        <w:t>CAPITALIZATION AND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capitalization will be set forth in the applicable prospectus supplement or in a report on Form 6-K subsequently furnished to the SEC and specifically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9"/>
      <w:bookmarkEnd w:id="9"/>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the amount of the immediate dilution from the public offering price which will be absorbed by such purchasers.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10"/>
      <w:bookmarkEnd w:id="10"/>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general corporate purposes, which may include capital expenditures, working capital, and other 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any securities by the selling securityholders. The selling securityholders will receive all of the net proceeds from the sale of any securities offered by them under this prospectus. The selling securityholders will bear any underwriting discounts and commission and expenses incurred by them for brokerage, accounting, tax, legal services or any other expenses incurred by the selling securityholders in disposing of these securities. We will bear all other costs, fees and expenses incurred in effecting the registration of the securities covered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1"/>
      <w:bookmarkEnd w:id="11"/>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our affairs are governed by our eighth amended and restated memorandum and articles of association, the Companies Act (As Revised) of the Cayman Islands (the “Companies Act”) and the common law of the Cayman Islands. The following description summarizes certain terms of our shares as set out more particularly in our Articles. Because it is only a summary, it may not contain all the information that is important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our authorized share capital was US$22,208,165,528 divided into (a) 1,076,699,522 Class A ordinary shares of a par value of US$20.25 each, (b) 20,000,000 Class B ordinary shares of a par value of US$20.25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Eighth Amended and Restated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eighth amended and restated memorandum and articles of association and the Companies Act insofar as they relate to the material terms of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w:t>
      </w:r>
      <w:r>
        <w:rPr>
          <w:rFonts w:ascii="Times New Roman;Times;Serif" w:hAnsi="Times New Roman;Times;Serif"/>
          <w:b w:val="false"/>
          <w:i w:val="false"/>
          <w:caps w:val="false"/>
          <w:smallCaps w:val="false"/>
          <w:sz w:val="20"/>
        </w:rPr>
        <w:t>Our ordinary shares are fully paid and non-assessable. Our ordinary shares are issued in registered form and are issued when registered in our register of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In addition, our shareholders may by ordinary resolution declare a final dividend, but no dividend shall exceed the amount recommended by our directors. Our eighth amended and restated memorandum and articles of association provide that the directors may, before recommending or declaring any dividends,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w:t>
      </w:r>
      <w:r>
        <w:rPr>
          <w:rFonts w:ascii="Times New Roman;Times;Serif" w:hAnsi="Times New Roman;Times;Serif"/>
          <w:b w:val="false"/>
          <w:i w:val="false"/>
          <w:caps w:val="false"/>
          <w:smallCaps w:val="false"/>
          <w:sz w:val="20"/>
        </w:rPr>
        <w:t>Holders of Class A Ordinary Shares and Class B Ordinary Shares have the right to receive notice of shareholders’ meetings and to attend, speak and vote at such meetings, and shall, at all times, vote together as a single class on all matters submitted to a vote for shareholders’ consent. Each Class A ordinary share is entitled to one (1) vote, and each Class B ordinary share is entitled to one thousand (1,000) votes on all matters subject to the vote at general meetings of the Company. A resolution put to the vote of the meeting shall be decided on a show of hands, unless a poll is demanded by one or more members present in person or by proxy entitled to vote and who together hold not less than one tenth of the paid-up voting share capital of the Company or by the chairman of the meeting. Votes may be given either personally or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and includes a unanimous written resolution. A special resolution will be required for important matters such as a change of name or making changes to our eighth amended and restated memorandum and articles of association. Holders of the ordinary shares may, among other things, divide or combine their shares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General Meetings of Shareholders</w:t>
      </w:r>
      <w:r>
        <w:rPr>
          <w:rFonts w:ascii="Times New Roman;Times;Serif" w:hAnsi="Times New Roman;Times;Serif"/>
          <w:b/>
          <w:i w:val="false"/>
          <w:caps w:val="false"/>
          <w:smallCaps w:val="false"/>
          <w:sz w:val="20"/>
        </w:rPr>
        <w:t>. </w:t>
      </w:r>
      <w:r>
        <w:rPr>
          <w:rFonts w:ascii="Times New Roman;Times;Serif" w:hAnsi="Times New Roman;Times;Serif"/>
          <w:b w:val="false"/>
          <w:i w:val="false"/>
          <w:caps w:val="false"/>
          <w:smallCaps w:val="false"/>
          <w:sz w:val="20"/>
        </w:rPr>
        <w:t>As a Cayman Islands exempted company, we are not obliged by the Companies Act to call shareholders’ annual general meetings. Our eighth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any director. Advance notice of at least seven calendar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an aggregate of one-third of all votes attaching to all of our shares in issue and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eighth amended and restated memorandum and articles of association provide that upon the requisition of shareholders representing in aggregate not less than one-fifth of the votes attaching to the issued and outstanding shares of our company entitled to vote at general meetings, our board of directors will convene an extraordinary general meeting and put the resolutions so requisitioned to a vote at such meeting. However, our eighth amended and restated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Ordinary Shares. Subject to the restrictions contained in our eighth amended and restated articles of association, any of our shareholders may transfer all or any of his or her ordinary shares by an instrument of transfer in the usual or common form or any other form approved by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our company, accompanied by the certificate for the shares to which it relates and such other evidence as the Board may reasonably require to show the right of the transferor to make the transfer;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to be transferred are free of any lien in favor of our company;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case of a transfer to joint holders, the number of joint holders to whom the Shares is to be transferred does not exceed four; a fee of such maximum sum as the Nasdaq Capital Market may determine to be payable or such lesser sum as our directors may from time to time require, is paid to our company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days’ notice being given by advertisement in one or more newspapers or by electronic means, be suspended and the register closed at such times and for such periods as our board of directors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On the winding up of our company, if the assets available for distribution amongst our shareholders shall be insufficient to repay the whole of the share capital, such assets shall be distributed so that, as nearly as may be, the losses shall be borne by our shareholders in proportion to the par value of the shares held by them. If in a winding up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Calls on Shares and Forfeiture of Shares. Our board of directors may from time to time make calls upon shareholders for any amounts unpaid on their shares in a notice served to such shareholders at least 14 calendar days prior to the specified time of payment. The ordinary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Repurchase and Surrender of Shares. We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(provided that no such purchase may be made contrary to the terms or manner recommended by the board of directors). Under the Companies Act, the redemption or repurchase of any shares may be paid out of our company’s profits or out of the proceeds of a new issuance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shares may be redeemed or repurchased (a) unless it is fully paid up; (b) if such redemption or repurchase would result in there being no shares outstanding; or (c) if the company has commenced liquidation. In addition, our company may accept the surrender of any fully paid shares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of Rights of Shares. If at any time our share capital is divided into different classes or series of shares, the rights attaching to any class or series (unless otherwise provided by the terms of issue of the shares of that class or series) may, subject to our articles of association, be varied or abrogated with the consent in writing of the holders of a majority of the issued shares of that class or series or with the sanction of a special resolution passed at a general meeting of the holders of the shares of that class or series. The rights conferred upon the holders of the shares of any class or series issued with the preferred or other rights shall not, unless otherwise expressly provided by the terms of issue of the shares of that class or series, be deemed to be varied by the creation or issue of further shares ranking in priority thereto or pari passu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Additional Shares. Our eighth amended and restated memorandum and articles of association authorizes our board of directors to issue additional ordinary shares from time to time as our board of directors shall determine, to the extent of available authorized but unissued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eighth amended and restated memorandum and articles of association also authorizes our board of directors to establish from time to time one or more series of preference shares and to determine, with respect to any series of preference shares, the terms and rights of that series, including:</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of the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shares of the series;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dividend rights, dividend rates, conversion rights, voting rights;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and terms of redemption and liquidation preferences.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of Books and Records. Holders of our ordinary shares will have no general rights under the Cayman Islands law to inspect or obtain copies of our list of shareholders or our corporate records (except for the memorandum and articles of association, any special resolutions passed by our shareholders and the register of mortgages and charges). However, we will provide our shareholders with annual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Anti-Takeover Provisions. Some provisions of our eighth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preferred shares in one or more series and to designate the price, rights, preferences, privileges and restrictions of such preference shares without any further votes or actions by our shareholders;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 the ability of shareholders to requisition and convene general meetings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eighth amended and restated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Capital. We may from time to time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the share capital by such sum, to be divided into shares of such amount, as the resolution shall prescribe;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the share capital into shares of a larger par value than the existing shares;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the existing shares, or any of them into shares of a smaller par value than is fixed by our eighth amended and restated memorandum of association (subject, nevertheless, to the Companies Act) provided that in the subdivision the proportion between the amount paid and the amount, if any, unpaid on each reduced share shall be the same as it was in case of the share from which the reduced share is derived;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any shares which, at the date of the passing of the resolution, have not been taken or agreed to be taken by any person and diminish the amount of its share capital by the amount of the shares so cancelled.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special resolution, subject to any confirmation or consent required by the Companies Act, reduce our share capital or any capital redemption reserve in any manner authorized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of Directors and Officers.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eighth amended and restated memorandum and articles of association provides that our directors and officers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eighth amended and restated memorandum and articles of association provides that our board of directors may provide, out of the unissued shares, for series of preferred shares, and before any preferred shares of any such series are issued, the board of directors shall fix, among other things, the designation of such series, the number of preferred shares to constitute such series, the subscription price thereof, the dividends, if any, payable on such series, voting rights, redemption rights, conversion rights, liquidation preferences and other rights of the holders of such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A Convertible Preferred Shares shall be up to 6,000. Each Series A Convertible Preferred Share shall have a par value of $0.0001 per share and a stated value equal to $1,000. Holders of our Series A Convertible Preferred Shares shall have the right to receive dividend as required by the certificate of designation of Series A Convertible Preferred Shares. Our Series A Convertible Preferred Shares have no voting rights. Each Series A Convertible Preferred Share shall be convertible, at the option of its holder, into the number of ordinary shares of the Company equal to stated value divided by conversion price, which is $3.00 subject to adjustments. No Series A Convertible Preferred Share shall be converted to ordinary shares if such conversion would result in the holder and its affiliates together owning in excess of 4.99% of the outstanding ordinary shares, after giving effect to the shares issued upon conversion. We have an option to redeem the Series A Convertible Preferred Shares by delivering a redemption notice to the holders at a price of 115% of the stated value per Series A Convertible Preferred Share. In connection with any redemption notice, we shall issue to the holders an ordinary share purchase warrant in the form of the Series a Warrant to purchase up to a number equal to 50% of the principal amount of the Series A Convertible Preferred Shares subject to such optional redemption divided by the then conversion price. As of the date of this prospectus, we have no Series A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D Convertible Preferred Shares shall be up to 6,000. Each Series D Convertible Preferred Share shall have a par value of $0.0001 per share and a stated value of $1,000. Holders of our Series D Convertible Preferred Shares shall have the right to receive dividend as required by the certificate of designation of Series D Convertible Preferred Shares. Our Series D Convertible Preferred Shares have no voting rights. Each Series D Convertible Preferred Share shall be convertible, at the option of its holder, into the number of ordinary shares of the Company equal to stated value divided by conversion price, which is $3.00 subject to customary anti-dilution adjustments. We have an option, after March 30, 2022, to redeem the Series D Convertible Preferred Shares by delivering a redemption notice to the holders at a price of 105% of the stated value per Series D Convertible Preferred Share. As of the date of this prospectus, we have 6,000 Series D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F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F Convertible Preferred Shares shall be up to 50,005. Each Series F Convertible Preferred Share shall have a par value of $0.00005 per share and a stated value of $1,000. Holders of our Series F Convertible Preferred Shares have no right to receive dividend. Our Series F Convertible Preferred Shares have no voting rights. Each Series F Convertible Preferred Shares shall be convertible, at the option of its holder, into the number of ordinary shares of the Company equal to stated value divided by conversion price, which is $1.00. We have an option, after January 1, 2023, to redeem the Series F Convertible Preferred Shares by delivering a redemption notice to the holders at a price of 105% of the stated value per Series F Convertible Preferred Share. As of the date of this prospectus, we have 42,500 Series F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G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G Convertible Preferred Shares shall be up to 50,000. Each Series G Convertible Preferred Share shall have a par value of $ 0.00075 per share and a stated value of $1,000. Holders of our Series G Convertible Preferred Shares have no right to receive dividend. Our Series G Convertible Preferred Shares have no voting rights. Each Series G Convertible Preferred Shares shall be convertible, at the option of its holder, into the number of ordinary shares of the Company equal to stated value divided by conversion price, which is $1.00. As of the date of this prospectus, we have 12,800 Series G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H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H Convertible Preferred Shares shall be up to 50,000. Each Series H Convertible Preferred Share shall have a par value of $ 0.00075 per share and a stated value of $1,000. Holders of our Series H Convertible Preferred Shares have no right to receive dividend. Our Series H Convertible Preferred Shares have no voting rights. Each Series H Convertible Preferred Shares shall be convertible, at the option of its holder, into the number of ordinary shares of the Company equal to stated value divided by conversion price, which is $1.00. As of the date of this prospectus, we have 7,366 Series H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I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I Convertible Preferred Shares shall be up to 50,000. Each Series I Convertible Preferred Share shall have a par value of $ 0.00075 per share and a stated value of $1,000. Holders of our Series I Convertible Preferred Shares have no right to receive dividend. Our Series I Convertible Preferred Shares have no voting rights. Each Series I Convertible Preferred Shares shall be convertible, at the option of its holder, into the number of ordinary shares of the Company equal to stated value divided by conversion price, which is $1.00. As of the date of this prospectus, we have 10,000 Series I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J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J Convertible Preferred Shares shall be up to 50,000. Each Series J Convertible Preferred Share shall have a par value of $ 0.00075 per share and a stated value of $1,000. Holders of our Series J Convertible Preferred Shares have no right to receive dividend. Our Series J Convertible Preferred Shares have no voting rights. As of the date of this prospectus, we have no Series J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K Convertible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designated as Series K Convertible Preferred Shares shall be up to 71,733. Each Series K Convertible Preferred Share shall have a par value of $ 0.00075 per share and a stated value of $1,000. Holders of our Series K Convertible Preferred Shares have no right to receive dividend. Our Series K Convertible Preferred Shares have no voting rights. As of the date of this prospectus, we have no Series K Convertible Preferred Shares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in the United States is Transhare Corporation, with a mailing address of 17755 North US Highway 19 Suite 140, Clearwater, Fl 33764.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Nasdaq under the symbol “KXIN”.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2" w:name="a_012"/>
      <w:bookmarkEnd w:id="12"/>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our ordinary shares either alone or underlying other securities convertible into or exercisable or exchangeable for our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certain rights and subject to certain conditions as set forth in our eighth amended and restated memorandum and articles of association and the Companies Act.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a_013"/>
      <w:bookmarkEnd w:id="13"/>
      <w:r>
        <w:rPr>
          <w:rFonts w:ascii="Times New Roman;Times;Serif" w:hAnsi="Times New Roman;Times;Serif"/>
          <w:b/>
          <w:i w:val="false"/>
          <w:caps w:val="false"/>
          <w:smallCaps w:val="false"/>
          <w:sz w:val="20"/>
        </w:rPr>
        <w:t>DESCRIPTION OF OUR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without action by our shareholders, to issue preferred shares in one or more series out of our authorized but unissued share capital. Our board of directors may establish the number of shares to be included in each such series and may set the designations, preferences, powers and other rights of a series of preferred shares. Accordingly, our board of directors is empowered, without shareholder approval, to issue preferred shares with dividend, liquidation, conversion, redemption, voting or other rights which could adversely affect the voting power or other rights of the holders of ordinary shares. The preferred shares could be utilized as a method of discouraging, delaying or preventing a change in control of Kaixin Holdings. The material terms of any series of preferred shares that we offer, together with any material U.S. federal income tax considerations relating to such preferred shares, will be described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preferred shares are entitled to certain rights and subject to certain conditions as set forth in our eighth amended and restated memorandum and articles of association and the certificate of designation authorized by the board of directors. See “Description of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which may or may not be converted into our ordinary shares or preferred shares. We may issue the debt securities independently or together with any underlying securities, and debt securities may be attached or separate from the underlying securities. In connection with the issuance of any debt securities, we do not intend to issue them pursuant to a trust indenture upon reliance of Section 304(a)(8) of the Trust Indenture Act and Rule 4a-1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debt securities that we may issue. The summary is not complete. When debt securities are offered in the future, a prospectus supplement, information incorporated by reference, or a free writing prospectus, as applicable, will explain the particular terms of those securities and the extent to which these general provisions may apply. The specific terms of the debt securities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debt securities in the applicable prospectus supplement, information incorporated by reference, or free writing prospectus is subject to and is qualified in its entirety by reference to all the provisions of any specific debt securities document or agreement.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debt securities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debt securities, we mean all debt securities issued as part of the same series under the applicable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debt securities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amount of the debt securities;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or amounts of the debt securities will be issued and interest rate;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conversion price at which the debt securities may be converted;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convert the debt securities will commence and the date on which the right will expire;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debt securities that may be converted at any one time;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federal income tax consideration;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41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terms of the payoff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indenture agent, if any;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and conditions relating to the conversion of the debt securities;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debt securities, including terms, procedure and limitation relating to the exchange or conversion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debt securities in registered form or bearer form. Debt securities issued in registered form, i.e., book-entry form, will be represented by a global security registered in the name of a depository, which will be the holder of all the debt securities represented by the global security. Those investors who own beneficial interests in global debt securities will do so through participants in the depository’s system, and the rights of these indirect owners will be governed solely by the applicable procedures of the depository and its participants. In addition, we may issue debt securities in non-global form, i.e., bearer form. If any debt securities are issued in non-global form, debt securities certificates may be exchanged for new debt securities certificates of different denominations, and holders may exchange, transfer, or convert their debt securities at the debt securities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of their debt securities, holders of debt securities convertible for ordinary shares or preferred shares will not have any rights of holders of ordinary shares or preferred shares, and will not be entitled to dividend payments, if any, or voting rights of the ordinary shares or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security may entitle the holder to purchase, in exchange for the extinguishment of debt, an amount of securities at a conversion price that will be stated in the debt security. Debt securities may be converted at any time up to the close of business on the expiration date set forth in the terms of such debt security. After the close of business on the expiration date, debt securities not exercised will be paid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may be converted as set forth in the applicable offering material. Upon receipt of a notice of conversion properly completed and duly executed at the corporate trust office of the indenture agent, if any, or to us, we will forward, as soon as practicable, the securities purchasable upon such exercise. If less than all of the debt security represented by such security is converted, a new debt security will be issued for the remaining debt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5"/>
      <w:bookmarkEnd w:id="15"/>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the warrants that we may issue. The summary is not complete. When warrants are offered in the future, a prospectus supplement, information incorporated by reference, or a free writing prospectus, as applicable, will explain the particular terms of those securities and the extent to which these general provisions may apply. The specific terms of the warrants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warrants in the applicable prospectus supplement, information incorporated by reference, or free writing prospectus is subject to and is qualified in its entirety by reference to all the provisions of any specific warrant document or agreement, if applicable. We will file each of these documents, as applicable, with the SEC and incorporate them by reference as an exhibit to the registration statement of which this prospectus is a part on or before the time we issue a series of warrants. See “Where You Can Find Additional Information” and “Incorporation of Documents by Reference” below for information on how to obtain a copy of a warrant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a series of warrants, we mean all warrants issued as part of the same series under the applicable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 the terms of any warrants that we may offer, including, but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total number of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will be issued;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price or prices at which the warrants may be exercised;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currency or currencies that investors may use to pay for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warrants will commence and the date on which the right will expire;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warrants will be issued in registered form or bearer form;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book-entry procedures,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minimum or maximum amount of warrants that may be exercised at any one time;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designation and terms of the underlying securities with which the warrants are issued and the number of warrants issued with each underlying security;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date on and after which the warrants and the related underlying securities will be separately transferable;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a discussion of material federal income tax considerations;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applicable, the terms of redemption of the warrants;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identity of the warrant agent, if 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procedures and conditions relating to the exercise of the warrants;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warrants, including terms, procedures, and limitations relating to the exchange and exercise of the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agent under a warrant agreement will act solely as our agent in connection with the warrants issued under that agreement. Any holder of warrants may, without the consent of any other person, enforce by appropriate legal action, on its own behalf, its right to exercise those warrants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information incorporated by reference,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their warrants, holders of warrants exercisable for ordinary shares or preferred shares will not have any rights of holders of ordinary shares or preferred shares and will not be entitled to dividend payments, if any, or voting rights of the ordinary shares or preferred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warrant will entitle the holder to purchase for cash an amount of securities at an exercise price that will be stated in, or that will be determinable as described in, the applicable prospectus supplement, information incorporated by reference, or free writing prospectus. Warrants may be exercised at any time up to the close of business on the expiration date set forth in the applicable offering material. After the close of business on the expiration date, unexercised warrants will become void. Warrants may be redeemed as set forth in the applicable offering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as set forth in the applicable offering material. Upon receipt of payment and the warrant certificate properly completed and duly executed at the corporate trust office of the warrant agent or any other office indicated in the applicable offering material, we will forward, as soon as practicable, the securities purchasable upon such exercise. If less than all of the warrants represented by such warrant certificate are exercised, a new warrant certificate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15,264,333 warrants outstanding, which consist of 375,000 warrants included in units issued to E&amp;A Callet Investment Limited (“E&amp;A Callet”), 263,863 warrants held by Shareholder Value Fund, the sponsor of the initial public offering of CM Seven Star, underlying the units sold to Shareholder Value Fund through a private placement, 1,532,500 Series A Convertible Warrants, 2,043,333 Series C Convertible Warrants, and 11,049,637 Series H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are 1,532,500 Series A Convertible Warrants outstanding, expiring on December 29, 2027, each exercisable to purchase one ordinary share at a price of $3.00 per full share, subject to adjustments. We will not issue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the Series A Convertible Warrants and is subject in all respect to the provisions contained in the Series A Convertible Warrants and the Securities Purchase Agreement entered into by and between our Company and KX Venturas 4 LLC, dated December 28, 2020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Term.</w:t>
      </w:r>
      <w:r>
        <w:rPr>
          <w:rFonts w:ascii="Times New Roman;Times;Serif" w:hAnsi="Times New Roman;Times;Serif"/>
          <w:b w:val="false"/>
          <w:i w:val="false"/>
          <w:caps w:val="false"/>
          <w:smallCaps w:val="false"/>
          <w:sz w:val="20"/>
        </w:rPr>
        <w:t xml:space="preserve"> The Series A Convertible Warrants are exercisable on the date of issuance and will expire on the seventh anniversary of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w:t>
      </w:r>
      <w:r>
        <w:rPr>
          <w:rFonts w:ascii="Times New Roman;Times;Serif" w:hAnsi="Times New Roman;Times;Serif"/>
          <w:b w:val="false"/>
          <w:i w:val="false"/>
          <w:caps w:val="false"/>
          <w:smallCaps w:val="false"/>
          <w:sz w:val="20"/>
        </w:rPr>
        <w:t xml:space="preserve"> The Series A Convertible Warrants are exercisable, at the option of the holder, in whole or in part by delivering to us a duly executed exercise notice and payment in full for the number of ordinary shares purchased upon such exercise, except in the case of a cashless exercise as discussed below. The number of ordinary shares issuable upon exercise of the Series A Convertible Warrants is subject to adjustments in certain circumstances, including a stock split of, stock dividend on, or a subdivision, combination or recapitalization of the ordinary shares. If we effect a merger, consolidation, sale of substantially all of our assets, or other similar transaction, then, upon any subsequent exercise of a Series A Convertible Warrant, the Series A Convertible Warrant holder will have the right to receive any shares of the acquiring corporation or other consideration it would have been entitled to receive if it had been a holder of the number of ordinary shares then issuable upon exercise in full of the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Exercise Price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exercise price of the Series A Convertible Warrants is $3.00 per full ordinary share. The exercise price is subject to anti-dilution adjustments. For instance, in the event that we conduct subsequent equity sales at an effective price less than the exercise price then in effect, then at the consummation of the sales the exercise price shall be reduced to equal to the effective price. The exercise price is also subject to adjustments in the event of a fundamental transaction including a merger, consolidation, sale of substantially all of our assets, or other similar transaction. Subject to limited exceptions, the holder of Series A Convertible Warrants will not have the right to exercise any portion of the Series A Convertible Warrants to the extent that, after giving effect to the exercise, the holder, together with its affiliates, and any other person acting as a group together with the holder or any of its affiliates, would beneficially own in excess of 4.9% of the number of ordinary shares outstanding immediately after giving effect to its exercise. The holder, upon notice to the Company, may increase or decrease the beneficial ownership limitation provisions of the Series A Convertible Warrants, provided that in no event shall the limitation exceed 9.99% of the number of ordinary shares outstanding immediately after giving effect to the exercise of the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Cashless Exercise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If we fail to maintain the effectiveness of the registration statement and current prospectus relating to the ordinary shares issuable upon exercise of the Series A Convertible Warrants, the holder shall have the right to exercise the Series A Convertible Warrants solely via a cashless exercise feature provided for in the Series A Convertible Warrants, until such time as there is an effective registration statement and current prospectus. Upon a cashless exercise, the holder would be entitled to receive a number of ordinary shares in accordance with certain formula set forth in the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Delivery of ordinary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We shall deliver the ordinary shares underlying the Series A Convertible Warrants to the holder exercising such warrants no later than the earlier of (i) two trading days following the exercise date, or (ii) one trading day after delivery of the payment of exercise price by the holder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No Fractional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No fractional shares or script representing fractional shares shall be issued upon the exercise of the Series A Convertible Warrants, and the number of the Series A Convertible Warrants will be rounded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Transferability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Subject to applicable laws and restrictions, the holder may transfer, in whole or in part, the Series A Convertible Warrants upon surrender of the Series A Convertible Warrants to us with a completed and signed assignment in the form attached to the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Authorized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During the period the Series A Convertible Warrants are outstanding, we will reserve from our authorized and unissued ordinary shares a sufficient number of shares to provide for the issuance of ordinary shares underlying the Series A Convertible Warrants upon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Fundamental Transactions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the event of any fundamental transaction, generally including any merger with or into another entity, sale of all or substantially all of our assets, tender offer or exchange offer, reclassification of our ordinary shares or the consummation of a transaction whereby more than 50% of our outstanding voting power, then the holder shall have the right to receive for each ordinary share that would have been issuable upon such exercise immediately prior to the occurrence of such fundamental transaction, the number of ordinary shares of the successor or acquiring corporation and any additional consideration receivable upon or as a result of such transaction by a holder of the number of ordinary shares for which the Series A Convertible Warrants is exercisable immediately prior to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Waivers and Amendments</w:t>
      </w:r>
      <w:r>
        <w:rPr>
          <w:rFonts w:ascii="Times New Roman;Times;Serif" w:hAnsi="Times New Roman;Times;Serif"/>
          <w:b w:val="false"/>
          <w:i w:val="false"/>
          <w:caps w:val="false"/>
          <w:smallCaps w:val="false"/>
          <w:sz w:val="20"/>
        </w:rPr>
        <w:t>. Any term of the Series A Convertible Warrants issued may be amended or waived with the written consent of us and the holder of the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2,043,333 Series C Convertible Warrants outstanding, expiring on June 29, 2028, each exercisable to purchase one ordinary share at a price of $3.00 per full share, subject to adjustments. We will not issue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exercisability of our Series C Convertible Warrants shall vest ratably from time to time in proportion to the holder’s exercise of the Series B Convertible Warrants as compared with all Series B Convertible Warrants issued to the holder, subject to the vesting schedule in the Series C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vesting requirement and the expiration date, our Series C Convertible Warrants have the same terms and conditions as our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H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11,049,637 Series H Convertible Warrants outstanding, expiring on May 15, 2026, each exercisable to purchase one ordinary share at a price of $1.00 per full share, subject to adjustments. We will not issue fractional shares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expiration date and exercise price, our Series H Convertible Warrants have the same terms and conditions as our Series A Convertible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6"/>
      <w:bookmarkEnd w:id="16"/>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which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determining the security holders entitled to the rights distribution;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aggregate number of rights issued and the aggregate amount of securities purchasable upon exercise of the rights;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conditions to completion of the rights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on which the right to exercise the rights will commence and the date on which the rights will expire;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federal income tax considerations.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7"/>
      <w:bookmarkEnd w:id="17"/>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composed of any combination of our securities.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selected provisions relating to units that we may offer. The summary is not complete. When units are offered in the future, a prospectus supplement, information incorporated by reference, or a free writing prospectus, as applicable, will explain the particular terms of those securities and the extent to which these general provisions may apply. The specific terms of the units as described in a prospectus supplement, information incorporated by reference, or free writing prospectus will supplement and, if applicable, may modify or replace the general terms described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and any description of units in the applicable prospectus supplement, information incorporated by reference, or free writing prospectus is subject to and is qualified in its entirety by reference to the unit agreement, collateral arrangements, and depositary arrangements, if applicable. We will file each of these documents, as applicable, with the SEC and incorporate them by reference as an exhibit to the registration statement of which this prospectus is a part on or before the time we issue a series of units. See “Where You Can Find Additional Information” and “Incorporation of Documents by Reference” below for information on how to obtain a copy of a document when it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information incorporated by reference, or free writing prospectus may describe: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designation and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provisions for the issuance, payment, settlement, transfer, or exchange of the units or of the securities composing the units;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units will be issued in fully registered or global form;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terms of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provisions described in this section, as well as those described under “Description of Share Capital,” “Description of American Depositary Shares,” “Description of Debt Securities,” “Description of Warrants,” and “Description of Rights” above, will apply to each unit and to each security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18"/>
      <w:bookmarkEnd w:id="1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by this prospectus from time to time in one or more transactions, including, without limitation: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or through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broker-dealers (acting as agent or principal);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directly by us to purchasers (including our affiliates and shareholders), through a specific bidding or auction process, a rights offering, or other method;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 combination of any such methods of sale;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any other methods described in a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own account pursuant to a prospectus supplement;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a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in other ways not involving market makers or established trading markets, including direct sales to purchasers.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at a fixed price or prices, which may be changed, or at market prices prevailing at the time of sale, at prices relating to the prevailing market prices or at negotiated prices. The consideration may be cash, extinguishment of debt,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and commissions under the Securities Act. If such dealers or agents were deemed to be underwriters, they may be subject to statutory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that we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may, from time to time, solicit offers to purchase the securities. If required, we will name in the applicable prospectus supplement, document incorporated by reference, or free writing prospectus, as applicable, any agent involved in the offer or sale of the securities and set forth any compensation payable to the agent. Unless otherwise indicated, any agent will be acting on a best efforts basis for the period of its appointment. Any agent selling the securities covered by this prospectus may be deemed to be an underwriter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This prospectus, the applicable prospectus supplement and any applicable free writing prospectus will be used by the underwriters to resell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used in the sale of the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document incorporated by reference, or free writing prospectus, as applicable, the name of the dealer and the terms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directly solicit offers to purchase the securities and may make sales of securities directly to institutional investors or others. These persons may be deemed to be underwriters with respect to any resale of the securities. To the extent required, the prospectus supplement, document incorporated by reference, or free writing prospectus, as applicable, will describe the terms of any such sales, including the terms of any bidding or auction process, if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which may be entered into with us to indemnification by us against specified liabilities, including liabilities incurred under the Securities Act, or to contribution by us to payments they may be required to make in respect of such liabilities. If required, the prospectus supplement, document incorporated by reference, or free writing prospectus, as applicable, will describe the terms and conditions of such indemnification or contribution. Some of the agents, underwriters, or dealers, or their affiliates may be customers of, engage in transactions with or perform services for us or our subsidiaries or affiliates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securities offered by this prospectus may be sold in those states only through registered or licensed brokers or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participating in the distribution of securities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securities by any such person. Furthermore, Regulation M may restrict the ability of any person engaged in the distribution of our securities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restrictions may affect the marketability of our securities and the ability of any person or entity to engage in market-making activities with respect to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9"/>
      <w:bookmarkEnd w:id="19"/>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public resale of our securities owned by the selling securityholders named below. Such selling securityholders may from time to time offer and sell pursuant to this prospectus any or all of the ordinary shares and/or warrants owned by them. The selling securityholders, however, make no representations that the ordinary shares or warrants will be offered for sale. The table below presents information regarding the selling securityholders and the ordinary shares and/or warrants that each may offer and sell from time to time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each selling securityholder;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securities beneficially owned by each selling securityholder prior to the sale of the securities covered by this prospectus;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securities that may be offered by each selling securityholder pursuant to this prospectus;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securities to be beneficially owned by each selling securityholder following the sale of any securities covered by this prospectus;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percentage of each type of securities to be owned by each selling securityholder before and after the sale of the securities covered by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ownership of the selling securityholders’ shares has been furnished by or on behalf of the selling securityholders and, unless otherwise indicated, is as of June 12, 2026. Based on information supplied by the selling securityholders, we believe that, except as may otherwise be indicated in the footnotes to the table below, the selling securityholders have sole voting and dispositive power with respect to the securities reported as beneficially owned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selling securityholders may sell, transfer or otherwise dispose of all, some or none of the securities covered by this prospectus, we cannot determine the number of such securities that will be sold, transferred or otherwise disposed of by the selling securityholders, or the amount or percentage of securities that will be held by the selling securityholders upon termination of any particular offering or sale, if any. The selling securityholders make no representations, however, that they will sell, transfer or otherwise dispose any securities in any particular offering or sale. In addition, the selling securityholders may have sold, transferred or otherwise disposed of, or may sell, transfer or otherwise dispose of, at any time and from time to time, the ordinary shares they hold in transactions exempt from the registration requirements of the Securities Act after the date on which they provided the information set forth on the table below. Solely for purposes of the requirements applicable to the registration statement of which this prospectus forms a part, the following table assumes that the selling securityholders will sell all of the securities owned beneficially by them that are covered by this prospectus, but will not sell any other securities that they presently 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hanging="0"/>
        <w:jc w:val="left"/>
        <w:rPr>
          <w:caps w:val="false"/>
          <w:smallCaps w:val="false"/>
        </w:rPr>
      </w:pPr>
      <w:r>
        <w:rPr>
          <w:caps w:val="false"/>
          <w:smallCaps w:val="false"/>
        </w:rPr>
        <w:t> </w:t>
      </w:r>
    </w:p>
    <w:tbl>
      <w:tblPr>
        <w:tblW w:w="10052" w:type="dxa"/>
        <w:jc w:val="left"/>
        <w:tblInd w:w="0" w:type="dxa"/>
        <w:tblLayout w:type="fixed"/>
        <w:tblCellMar>
          <w:top w:w="0" w:type="dxa"/>
          <w:left w:w="0" w:type="dxa"/>
          <w:bottom w:w="0" w:type="dxa"/>
          <w:right w:w="0" w:type="dxa"/>
        </w:tblCellMar>
      </w:tblPr>
      <w:tblGrid>
        <w:gridCol w:w="2585"/>
        <w:gridCol w:w="60"/>
        <w:gridCol w:w="94"/>
        <w:gridCol w:w="1500"/>
        <w:gridCol w:w="94"/>
        <w:gridCol w:w="94"/>
        <w:gridCol w:w="131"/>
        <w:gridCol w:w="834"/>
        <w:gridCol w:w="185"/>
        <w:gridCol w:w="60"/>
        <w:gridCol w:w="103"/>
        <w:gridCol w:w="1641"/>
        <w:gridCol w:w="60"/>
        <w:gridCol w:w="60"/>
        <w:gridCol w:w="193"/>
        <w:gridCol w:w="846"/>
        <w:gridCol w:w="193"/>
        <w:gridCol w:w="193"/>
        <w:gridCol w:w="193"/>
        <w:gridCol w:w="858"/>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4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Beneficially Owned</w:t>
              <w:br/>
              <w:t>prior to this Offering</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Being</w:t>
              <w:br/>
              <w:t>Registered for Resale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Beneficially Owned</w:t>
              <w:br/>
              <w:t>after this Offering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w:t>
              <w:br/>
              <w:t>Shares on an</w:t>
              <w:br/>
              <w:t>as converted</w:t>
              <w:br/>
              <w:t>basis</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r>
              <w:rPr>
                <w:rFonts w:ascii="Times New Roman;Times;Serif" w:hAnsi="Times New Roman;Times;Serif"/>
                <w:b/>
                <w:i w:val="false"/>
                <w:caps w:val="false"/>
                <w:smallCaps w:val="false"/>
                <w:position w:val="7"/>
                <w:sz w:val="16"/>
                <w:sz w:val="20"/>
              </w:rPr>
              <w:br/>
              <w:t>(1)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w:t>
              <w:br/>
              <w:t>Shares on an</w:t>
              <w:br/>
              <w:t>as converted</w:t>
              <w:br/>
              <w:t>basis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w:t>
              <w:br/>
              <w:t>Shares on an</w:t>
              <w:br/>
              <w:t>as converted</w:t>
              <w:br/>
              <w:t>basis</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r>
            <w:r>
              <w:rPr>
                <w:rFonts w:ascii="Times New Roman;Times;Serif" w:hAnsi="Times New Roman;Times;Serif"/>
                <w:b/>
                <w:i w:val="false"/>
                <w:caps w:val="false"/>
                <w:smallCaps w:val="false"/>
                <w:position w:val="7"/>
                <w:sz w:val="16"/>
                <w:sz w:val="20"/>
              </w:rPr>
              <w:b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AutoA2A, LTD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15,000,010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16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Kaihui Consulting, Ltd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Morning Star EV Inc. </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Shangyue Limited </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0.1% of our total outstanding ordinary shares.</w:t>
      </w:r>
    </w:p>
    <w:p>
      <w:pPr>
        <w:pStyle w:val="TextBody"/>
        <w:bidi w:val="0"/>
        <w:spacing w:before="0" w:after="0"/>
        <w:ind w:left="0" w:right="0" w:hanging="0"/>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320"/>
        <w:gridCol w:w="8015"/>
      </w:tblGrid>
      <w:tr>
        <w:trPr/>
        <w:tc>
          <w:tcPr>
            <w:tcW w:w="320" w:type="dxa"/>
            <w:tcBorders/>
            <w:vAlign w:val="center"/>
          </w:tcPr>
          <w:p>
            <w:pPr>
              <w:pStyle w:val="TableContents"/>
              <w:bidi w:val="0"/>
              <w:spacing w:before="0" w:after="283"/>
              <w:jc w:val="both"/>
              <w:rPr/>
            </w:pPr>
            <w:r>
              <w:rPr>
                <w:rFonts w:ascii="Times New Roman;Times;Serif" w:hAnsi="Times New Roman;Times;Serif"/>
                <w:sz w:val="20"/>
              </w:rPr>
              <w:t>(1)</w:t>
            </w:r>
            <w:r>
              <w:rPr/>
              <w:t xml:space="preserve"> </w:t>
            </w:r>
          </w:p>
        </w:tc>
        <w:tc>
          <w:tcPr>
            <w:tcW w:w="8015" w:type="dxa"/>
            <w:tcBorders/>
            <w:vAlign w:val="center"/>
          </w:tcPr>
          <w:p>
            <w:pPr>
              <w:pStyle w:val="TableContents"/>
              <w:bidi w:val="0"/>
              <w:spacing w:before="0" w:after="283"/>
              <w:jc w:val="both"/>
              <w:rPr/>
            </w:pPr>
            <w:r>
              <w:rPr>
                <w:rFonts w:ascii="Times New Roman;Times;Serif" w:hAnsi="Times New Roman;Times;Serif"/>
                <w:sz w:val="20"/>
              </w:rPr>
              <w:t>Based on 20,033,884 ordinary shares of the Company issued and outstanding as of June 15, 2026.</w:t>
            </w: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15,000,010 Ordinary Shares held by AutoA2A, LTD, a company incorporated in the British Virgin Islands and is controlled by Ping Wang. The registered address of AutoA2A, LTD is 2/F, Palm Grove House, P.O. Box 3340, Road Town, Tortola, British Virgin Islands.</w:t>
            </w:r>
          </w:p>
        </w:tc>
      </w:tr>
      <w:tr>
        <w:trPr/>
        <w:tc>
          <w:tcPr>
            <w:tcW w:w="217" w:type="dxa"/>
            <w:tcBorders/>
            <w:vAlign w:val="center"/>
          </w:tcPr>
          <w:p>
            <w:pPr>
              <w:pStyle w:val="TableContents"/>
              <w:bidi w:val="0"/>
              <w:spacing w:before="0" w:after="283"/>
              <w:jc w:val="both"/>
              <w:rPr/>
            </w:pPr>
            <w:r>
              <w:rPr/>
              <w:t> </w:t>
            </w:r>
          </w:p>
        </w:tc>
        <w:tc>
          <w:tcPr>
            <w:tcW w:w="9988" w:type="dxa"/>
            <w:tcBorders/>
            <w:vAlign w:val="center"/>
          </w:tcPr>
          <w:p>
            <w:pPr>
              <w:pStyle w:val="TableContents"/>
              <w:bidi w:val="0"/>
              <w:spacing w:before="0" w:after="283"/>
              <w:jc w:val="both"/>
              <w:rPr/>
            </w:pPr>
            <w:r>
              <w:rPr/>
              <w:t> </w:t>
            </w:r>
          </w:p>
        </w:tc>
      </w:tr>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 99 Ordinary Shares held by Kaihui Consulting, Ltd, a company incorporated in the British Virgin Islands and is controlled by Yuxiang Yang. The registered address of Kaihui Consulting, Ltd is 2/F, Palm Grove House, P.O. Box 3340, Road Town, Tortola, British Virgin Islands.</w:t>
            </w:r>
          </w:p>
        </w:tc>
      </w:tr>
      <w:tr>
        <w:trPr/>
        <w:tc>
          <w:tcPr>
            <w:tcW w:w="21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both"/>
              <w:rPr/>
            </w:pPr>
            <w:r>
              <w:rPr/>
              <w:t> </w:t>
            </w:r>
          </w:p>
        </w:tc>
      </w:tr>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149 ordinary shares held by Morning Star EV Inc., a company incorporated in the British Virgin Islands and is controlled by Lei Gu. The registered address of MORNING STAR EV INC. is Craigmuir Chambers, Road Town, Tortola, VG 1110, British Virgin Islands.</w:t>
            </w:r>
          </w:p>
        </w:tc>
      </w:tr>
      <w:tr>
        <w:trPr/>
        <w:tc>
          <w:tcPr>
            <w:tcW w:w="217" w:type="dxa"/>
            <w:tcBorders/>
            <w:vAlign w:val="center"/>
          </w:tcPr>
          <w:p>
            <w:pPr>
              <w:pStyle w:val="TableContents"/>
              <w:bidi w:val="0"/>
              <w:spacing w:before="0" w:after="283"/>
              <w:jc w:val="left"/>
              <w:rPr/>
            </w:pPr>
            <w:r>
              <w:rPr/>
              <w:t> </w:t>
            </w:r>
          </w:p>
        </w:tc>
        <w:tc>
          <w:tcPr>
            <w:tcW w:w="9988" w:type="dxa"/>
            <w:tcBorders/>
            <w:vAlign w:val="center"/>
          </w:tcPr>
          <w:p>
            <w:pPr>
              <w:pStyle w:val="TableContents"/>
              <w:bidi w:val="0"/>
              <w:spacing w:before="0" w:after="283"/>
              <w:jc w:val="both"/>
              <w:rPr/>
            </w:pPr>
            <w:r>
              <w:rPr/>
              <w:t> </w:t>
            </w:r>
          </w:p>
        </w:tc>
      </w:tr>
      <w:tr>
        <w:trPr/>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12,800,000 Ordinary Shares issuable upon conversion of 12,800 Series G Convertible Preferred Shares of the Company held by Shangyue Limited, a company  incorporated in the British Virgin Islands and is controlled by Tao Feng. The registered address of Shangyue Limited is Craigmuir Chambers, Road Town, Tortola, VG 1110, British Virgin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and intermediaries through whom such securities are sold may be deemed “underwriters” within the meaning of the Securities Act with respect to the securities offered by this prospectus, and any profits realized or commissions received may be deemed underwriting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selling securityholders not named in this prospectus will not be able to use this prospectus for resales until they are named in the table above by prospectus supplement or post-effective amendment. Transferees, successors and donees of identified selling securityholders will not be able to use this prospectus for resales until they are named in the table above by prospectus supplement or post-effective amendment. If required, we will add transferees, successors and donees by prospectus supplement in instances where the transferee, successor or donee has acquired its securities from holders named in this prospectus after the effective date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20"/>
      <w:bookmarkEnd w:id="20"/>
      <w:r>
        <w:rPr>
          <w:rFonts w:ascii="Times New Roman;Times;Serif" w:hAnsi="Times New Roman;Times;Serif"/>
          <w:b/>
          <w:i w:val="false"/>
          <w:caps w:val="false"/>
          <w:smallCaps w:val="false"/>
          <w:sz w:val="20"/>
        </w:rPr>
        <w:t>TAXATION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Material income tax consequences relating to the purchase, ownership, and disposition of the securities offered by this prospectus are set forth in “Item 10. Additional Information—E. Taxation” in our </w:t>
      </w:r>
      <w:hyperlink r:id="rId5">
        <w:r>
          <w:rPr>
            <w:rStyle w:val="InternetLink"/>
            <w:rFonts w:ascii="Times New Roman;Times;Serif" w:hAnsi="Times New Roman;Times;Serif"/>
            <w:b w:val="false"/>
            <w:i w:val="false"/>
            <w:caps w:val="false"/>
            <w:smallCaps w:val="false"/>
            <w:sz w:val="20"/>
          </w:rPr>
          <w:t>annual report on Form 20-F for the fiscal year ended December 31, 2025</w:t>
        </w:r>
      </w:hyperlink>
      <w:r>
        <w:rPr>
          <w:rFonts w:ascii="Times New Roman;Times;Serif" w:hAnsi="Times New Roman;Times;Serif"/>
          <w:b w:val="false"/>
          <w:i w:val="false"/>
          <w:caps w:val="false"/>
          <w:smallCaps w:val="false"/>
          <w:sz w:val="20"/>
        </w:rPr>
        <w:t>, which is incorporated herein by reference, as updated by our subsequent filings under the Exchange Act that are incorporated by reference and, if applicable, in any accompanying prospectus supplement or relevant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21"/>
      <w:bookmarkEnd w:id="21"/>
      <w:r>
        <w:rPr>
          <w:rFonts w:ascii="Times New Roman;Times;Serif" w:hAnsi="Times New Roman;Times;Serif"/>
          <w:b/>
          <w:i w:val="false"/>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expenses in connection with this offering, all of which will be paid by us. All amounts shown are estimates, except for the SEC registration fee.</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3680"/>
        <w:gridCol w:w="60"/>
        <w:gridCol w:w="365"/>
        <w:gridCol w:w="740"/>
        <w:gridCol w:w="75"/>
      </w:tblGrid>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1,019.27</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Financial Industry Regulatory Authority fees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fees and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Accounting fees and expenses</w:t>
            </w:r>
          </w:p>
        </w:tc>
        <w:tc>
          <w:tcPr>
            <w:tcW w:w="60"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Printing and postage expenses</w:t>
            </w:r>
          </w:p>
        </w:tc>
        <w:tc>
          <w:tcPr>
            <w:tcW w:w="6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Miscellaneous expenses</w:t>
            </w:r>
          </w:p>
        </w:tc>
        <w:tc>
          <w:tcPr>
            <w:tcW w:w="60" w:type="dxa"/>
            <w:tcBorders/>
            <w:shd w:fill="FFFFFF" w:val="clear"/>
            <w:vAlign w:val="center"/>
          </w:tcPr>
          <w:p>
            <w:pPr>
              <w:pStyle w:val="TableContents"/>
              <w:bidi w:val="0"/>
              <w:spacing w:before="0" w:after="283"/>
              <w:jc w:val="left"/>
              <w:rPr/>
            </w:pPr>
            <w:r>
              <w:rPr/>
              <w:t> </w:t>
            </w:r>
          </w:p>
        </w:tc>
        <w:tc>
          <w:tcPr>
            <w:tcW w:w="36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provided by a prospectus supplement or as an exhibit to a report of foreign private issuer on Form 6-K that is incorporated by reference into this registration statement. Estimated solely for this item. Actual expenses may vary.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22"/>
      <w:bookmarkEnd w:id="22"/>
      <w:r>
        <w:rPr>
          <w:rFonts w:ascii="Times New Roman;Times;Serif" w:hAnsi="Times New Roman;Times;Serif"/>
          <w:b/>
          <w:i w:val="false"/>
          <w:caps w:val="false"/>
          <w:smallCaps w:val="false"/>
          <w:sz w:val="20"/>
        </w:rPr>
        <w:t>MATERIAL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contracts are described in the documents incorporated by reference into this prospectus. See “Incorporation of Documents by Reference”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3"/>
      <w:bookmarkEnd w:id="23"/>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Except as otherwise described in our </w:t>
      </w:r>
      <w:hyperlink r:id="rId6">
        <w:r>
          <w:rPr>
            <w:rStyle w:val="InternetLink"/>
            <w:rFonts w:ascii="Times New Roman;Times;Serif" w:hAnsi="Times New Roman;Times;Serif"/>
            <w:b w:val="false"/>
            <w:i w:val="false"/>
            <w:caps w:val="false"/>
            <w:smallCaps w:val="false"/>
            <w:sz w:val="20"/>
          </w:rPr>
          <w:t>annual report on Form 20-F for the fiscal year ended December 31, 2025</w:t>
        </w:r>
      </w:hyperlink>
      <w:r>
        <w:rPr>
          <w:rFonts w:ascii="Times New Roman;Times;Serif" w:hAnsi="Times New Roman;Times;Serif"/>
          <w:b w:val="false"/>
          <w:i w:val="false"/>
          <w:caps w:val="false"/>
          <w:smallCaps w:val="false"/>
          <w:sz w:val="20"/>
        </w:rPr>
        <w:t>, in our reports of foreign private issuer on Form 6-K filed or submitted under the Exchange Act and incorporated by reference herein, and as disclosed in this prospectus or the applicable prospectus supplement, no reportable material changes have occurred since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4"/>
      <w:bookmarkEnd w:id="24"/>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Han Kun Law Offices with respect to certain legal matters of U.S. federal securities and New York State law. The validity of the securities offered in this offering and certain other legal matters as to Cayman Islands law will be passed upon for us by Maples and Calder (Hong Kong) LLP. Legal matters as to PRC law will be passed upon for us by Dong Fang Law Offices. Han Kun Law Offices may rely upon Maples and Calder (Hong Kong) LLP with respect to matters governed by Cayman Islands law and Dong Fang Law Offices with respect to matters governed by PRC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legal matters in connection with offerings made pursuant to this prospectus are passed upon by counsel to underwriters, dealers, or agents, such counsel will be named in the applicable prospectus supplement relating to any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5"/>
      <w:bookmarkEnd w:id="25"/>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consolidated financial statements of Kaixin Holdings and its subsidiaries as of December 31, 2023 and 2024 and for each of the three years in the period ended December 31, 2025 incorporated in this prospectus by reference to our </w:t>
      </w:r>
      <w:hyperlink r:id="rId7">
        <w:r>
          <w:rPr>
            <w:rStyle w:val="InternetLink"/>
            <w:rFonts w:ascii="Times New Roman;Times;Serif" w:hAnsi="Times New Roman;Times;Serif"/>
            <w:b w:val="false"/>
            <w:i w:val="false"/>
            <w:caps w:val="false"/>
            <w:smallCaps w:val="false"/>
            <w:sz w:val="20"/>
          </w:rPr>
          <w:t>annual report on Form 20-F for the year ended December 31, 2025</w:t>
        </w:r>
      </w:hyperlink>
      <w:r>
        <w:rPr>
          <w:rFonts w:ascii="Times New Roman;Times;Serif" w:hAnsi="Times New Roman;Times;Serif"/>
          <w:b w:val="false"/>
          <w:i w:val="false"/>
          <w:caps w:val="false"/>
          <w:smallCaps w:val="false"/>
          <w:sz w:val="20"/>
        </w:rPr>
        <w:t>, have been so incorporated by reference in reliance on the report of Onestop Assurance PAC, an independent registered public accounting firm, given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 of Onestop Assurance PAC is located in 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6"/>
      <w:bookmarkEnd w:id="26"/>
      <w:r>
        <w:rPr>
          <w:rFonts w:ascii="Times New Roman;Times;Serif" w:hAnsi="Times New Roman;Times;Serif"/>
          <w:b/>
          <w:i w:val="false"/>
          <w:caps w:val="false"/>
          <w:smallCaps w:val="false"/>
          <w:sz w:val="20"/>
        </w:rPr>
        <w:t>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certain information that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pPr>
            <w:r>
              <w:rPr>
                <w:rFonts w:ascii="Times New Roman;Times;Serif" w:hAnsi="Times New Roman;Times;Serif"/>
                <w:sz w:val="20"/>
              </w:rPr>
              <w:t xml:space="preserve">our current report on Form 6-K filed with the SEC on </w:t>
            </w:r>
            <w:hyperlink r:id="rId8">
              <w:r>
                <w:rPr>
                  <w:rStyle w:val="InternetLink"/>
                  <w:rFonts w:ascii="Times New Roman;Times;Serif" w:hAnsi="Times New Roman;Times;Serif"/>
                  <w:sz w:val="20"/>
                </w:rPr>
                <w:t>April 10, 2026</w:t>
              </w:r>
            </w:hyperlink>
            <w:r>
              <w:rPr>
                <w:rFonts w:ascii="Times New Roman;Times;Serif" w:hAnsi="Times New Roman;Times;Serif"/>
                <w:sz w:val="20"/>
              </w:rPr>
              <w:t>;</w:t>
            </w:r>
          </w:p>
        </w:tc>
      </w:tr>
      <w:tr>
        <w:trPr/>
        <w:tc>
          <w:tcPr>
            <w:tcW w:w="211" w:type="dxa"/>
            <w:tcBorders/>
            <w:vAlign w:val="center"/>
          </w:tcPr>
          <w:p>
            <w:pPr>
              <w:pStyle w:val="TableContents"/>
              <w:bidi w:val="0"/>
              <w:spacing w:before="0" w:after="283"/>
              <w:jc w:val="both"/>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9">
              <w:r>
                <w:rPr>
                  <w:rStyle w:val="InternetLink"/>
                  <w:rFonts w:ascii="Times New Roman;Times;Serif" w:hAnsi="Times New Roman;Times;Serif"/>
                  <w:sz w:val="20"/>
                </w:rPr>
                <w:t>annual report on Form 20-F (File No. 001-38261) for the fiscal year ended December 31, 2025 filed with the SEC on April 7, 2026</w:t>
              </w:r>
            </w:hyperlink>
            <w:r>
              <w:rPr>
                <w:rFonts w:ascii="Times New Roman;Times;Serif" w:hAnsi="Times New Roman;Times;Serif"/>
                <w:sz w:val="20"/>
              </w:rPr>
              <w:t>;</w:t>
            </w:r>
          </w:p>
        </w:tc>
      </w:tr>
      <w:tr>
        <w:trPr/>
        <w:tc>
          <w:tcPr>
            <w:tcW w:w="211" w:type="dxa"/>
            <w:tcBorders/>
            <w:vAlign w:val="center"/>
          </w:tcPr>
          <w:p>
            <w:pPr>
              <w:pStyle w:val="TableContents"/>
              <w:bidi w:val="0"/>
              <w:spacing w:before="0" w:after="283"/>
              <w:jc w:val="both"/>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ordinary shares contained in our registration statements on </w:t>
            </w:r>
            <w:hyperlink r:id="rId10">
              <w:r>
                <w:rPr>
                  <w:rStyle w:val="InternetLink"/>
                  <w:rFonts w:ascii="Times New Roman;Times;Serif" w:hAnsi="Times New Roman;Times;Serif"/>
                  <w:sz w:val="20"/>
                </w:rPr>
                <w:t>Form S-8, filed with the SEC on  November 5, 2025 (File No. 333-291281)</w:t>
              </w:r>
            </w:hyperlink>
            <w:r>
              <w:rPr>
                <w:rFonts w:ascii="Times New Roman;Times;Serif" w:hAnsi="Times New Roman;Times;Serif"/>
                <w:sz w:val="20"/>
              </w:rPr>
              <w:t xml:space="preserve">, which incorporates by reference the description of the Registrant’s ordinary shares set forth in the Registrant’s Registration Statement on </w:t>
            </w:r>
            <w:hyperlink r:id="rId11">
              <w:r>
                <w:rPr>
                  <w:rStyle w:val="InternetLink"/>
                  <w:rFonts w:ascii="Times New Roman;Times;Serif" w:hAnsi="Times New Roman;Times;Serif"/>
                  <w:sz w:val="20"/>
                </w:rPr>
                <w:t>Form S-1 (File No. 333-220510), as amended, originally filed with the SEC on September 18, 2017</w:t>
              </w:r>
            </w:hyperlink>
            <w:r>
              <w:rPr>
                <w:rFonts w:ascii="Times New Roman;Times;Serif" w:hAnsi="Times New Roman;Times;Serif"/>
                <w:sz w:val="20"/>
              </w:rPr>
              <w:t>, including any amendments or reports filed for the purpose of updating such description, and any amendment or report filed for the purpose of updating such description;</w:t>
            </w:r>
          </w:p>
        </w:tc>
      </w:tr>
      <w:tr>
        <w:trPr/>
        <w:tc>
          <w:tcPr>
            <w:tcW w:w="211" w:type="dxa"/>
            <w:tcBorders/>
            <w:vAlign w:val="center"/>
          </w:tcPr>
          <w:p>
            <w:pPr>
              <w:pStyle w:val="TableContents"/>
              <w:bidi w:val="0"/>
              <w:spacing w:before="0" w:after="283"/>
              <w:jc w:val="both"/>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annual reports on Form 20-F filed with the SEC after the date of this prospectus and prior to the termination of the offering of the securities offered by this prospectus; and</w:t>
            </w:r>
          </w:p>
        </w:tc>
      </w:tr>
      <w:tr>
        <w:trPr/>
        <w:tc>
          <w:tcPr>
            <w:tcW w:w="211" w:type="dxa"/>
            <w:tcBorders/>
            <w:vAlign w:val="center"/>
          </w:tcPr>
          <w:p>
            <w:pPr>
              <w:pStyle w:val="TableContents"/>
              <w:bidi w:val="0"/>
              <w:spacing w:before="0" w:after="283"/>
              <w:jc w:val="both"/>
              <w:rPr/>
            </w:pPr>
            <w:r>
              <w:rPr/>
              <w:t> </w:t>
            </w:r>
          </w:p>
        </w:tc>
        <w:tc>
          <w:tcPr>
            <w:tcW w:w="9994" w:type="dxa"/>
            <w:tcBorders/>
            <w:vAlign w:val="center"/>
          </w:tcPr>
          <w:p>
            <w:pPr>
              <w:pStyle w:val="TableContents"/>
              <w:bidi w:val="0"/>
              <w:spacing w:before="0" w:after="283"/>
              <w:jc w:val="both"/>
              <w:rPr/>
            </w:pPr>
            <w:r>
              <w:rPr/>
              <w:t> </w:t>
            </w:r>
          </w:p>
        </w:tc>
      </w:tr>
      <w:tr>
        <w:trPr/>
        <w:tc>
          <w:tcPr>
            <w:tcW w:w="2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future reports of foreign private issuer on Form 6-K that we furnish to the SEC after the date of this prospectus that are identified in such reports as being incorporated by reference into the registration statement of which this prospectus forms a part.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w:t>
      </w:r>
      <w:hyperlink r:id="rId12">
        <w:r>
          <w:rPr>
            <w:rStyle w:val="InternetLink"/>
            <w:rFonts w:ascii="Times New Roman;Times;Serif" w:hAnsi="Times New Roman;Times;Serif"/>
            <w:b w:val="false"/>
            <w:i w:val="false"/>
            <w:caps w:val="false"/>
            <w:smallCaps w:val="false"/>
            <w:sz w:val="20"/>
          </w:rPr>
          <w:t>Form 20-F for the fiscal year ended December 31, 2025 filed with the SEC on April 7, 2026</w:t>
        </w:r>
      </w:hyperlink>
      <w:r>
        <w:rPr>
          <w:rFonts w:ascii="Times New Roman;Times;Serif" w:hAnsi="Times New Roman;Times;Serif"/>
          <w:b w:val="false"/>
          <w:i w:val="false"/>
          <w:caps w:val="false"/>
          <w:smallCaps w:val="false"/>
          <w:sz w:val="20"/>
        </w:rPr>
        <w:t xml:space="preserve"> contains a description of our business and audited consolidated financial statements with a report by our independent auditors. These statements were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Complex Building Room 211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Dong Quan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Luoyang Town, Taishun County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Wenzhou, Zhejiang Province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(10) 6720 4948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27"/>
      <w:bookmarkEnd w:id="27"/>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You can request copies of these documents, upon payment of a duplicating fee, by writing to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or current reports and financial statements with the SEC as frequently or as promptly as U.S. companies whose securities are registered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28"/>
      <w:bookmarkEnd w:id="28"/>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in the Cayman Islands, as an exempted company, in order to enjoy the following benefits:</w:t>
      </w:r>
    </w:p>
    <w:p>
      <w:pPr>
        <w:pStyle w:val="TextBody"/>
        <w:bidi w:val="0"/>
        <w:spacing w:before="0" w:after="0"/>
        <w:ind w:left="0" w:right="0" w:hanging="0"/>
        <w:jc w:val="left"/>
        <w:rPr>
          <w:caps w:val="false"/>
          <w:smallCaps w:val="false"/>
        </w:rPr>
      </w:pPr>
      <w:r>
        <w:rPr>
          <w:caps w:val="false"/>
          <w:smallCaps w:val="false"/>
        </w:rPr>
        <w:t> </w:t>
      </w:r>
    </w:p>
    <w:tbl>
      <w:tblPr>
        <w:tblW w:w="5200" w:type="dxa"/>
        <w:jc w:val="left"/>
        <w:tblInd w:w="0" w:type="dxa"/>
        <w:tblLayout w:type="fixed"/>
        <w:tblCellMar>
          <w:top w:w="0" w:type="dxa"/>
          <w:left w:w="0" w:type="dxa"/>
          <w:bottom w:w="0" w:type="dxa"/>
          <w:right w:w="0" w:type="dxa"/>
        </w:tblCellMar>
      </w:tblPr>
      <w:tblGrid>
        <w:gridCol w:w="75"/>
        <w:gridCol w:w="170"/>
        <w:gridCol w:w="49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political and economic stability;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effective judicial system;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favorable tax system;</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absence of exchange control or currency restrictions;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495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professional and support services.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certain disadvantages accompany incorporation in the Cayman Islands. These disadvantages include, but are not limited to,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Cayman Islands has a less developed body of securities laws as compared to the United States and these securities laws provide significantly less protection to investors as compared to the United States;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Cayman Islands companies may not have standing to sue before the federal courts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constitutional documents do not contain provisions requiring that disputes, including those arising under the securities laws of the United States, between us, our officers, directors, and shareholders, be arbitrated.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operations are conducted outside the United States, and all of our assets are located outside the United States. A majority of our directors and officers are nationals or residents of jurisdictions other than the United States and a substantial portion of their assets are located outside the United States. Except for our chief financial officer and director, Ms. Yi Yang, who is a U.S. citizen, all other officers and directors are PRC nationals. All of our officers and directors reside within China, namely, our chairman and chief executive officer, Mr. Mingjun Lin, and our directors Mr. Deqiang Chen, Mr. Xiaolei Gu, and Mr. Xiaoning Wu. As a result, it may be difficult for a shareholder to effect service of process within the United States upon these persons, or to enforce against us or them judgments obtained in U.S. courts, including judgments predicated upon the civil liability provisions of the securities laws of the United States or any state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Registrants Global LLC as our agent upon whom process may be served in any action brought against us under the securities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our counsel as to Cayman Islands law, has advised us that the courts of the Cayman Islands are unlikely (i) to recognize or enforce against us or our directors or officers judgments of courts of the United States predicated upon the civil liability provisions of the securities laws of the United States or any State; and (ii) entertain original actions brought in the Cayman Islands, to impose liabilities against us or our directors or officers predicated upon the civil liability provisions of the securities laws of the United States or any State, so far as the liabilities imposed by those provisions are penal in nature. In those circumstances, although there is no statutory enforcement in the Cayman Islands of judgments obtained in the United States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upon the judgment debtor an obligation to pay a liquidated sum for which the judgment has been given, (c) final, (d) must not be in respect of taxes or a fine or penalty, and was not obtained in a manner, and is not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 Fang Law Offices, our counsel as to PRC law, has advised us that there is uncertainty as to whether the courts of China, would: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recognize or enforce judgments of U.S. courts obtained against us or our directors or officers predicated upon the civil liability provisions of the securities laws of the United States or any state in the United States so far as the liabilities imposed by those provisions are penal in nature; or</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entertain original actions brought in each respective jurisdiction against us or our directors or officers predicated upon the civil liability provisions of the securities laws of the United States or any state in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our PRC legal counsel, that there is uncertainty as to whether the courts of the PRC would enforce judgments of U.S. courts or Cayman courts obtained against us or these persons predicated upon the civil liability provisions of the U.S. federal and state securities laws or Cayman Island laws. Dong Fang Law Offices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eighth amended and restated memorandum and articles of association provides that we shall indemnify our officers and directors against all actions, proceedings, costs, charges, expenses, losses, damages, or liabilities incurred or sustained by such directors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an indemnification agreement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Exhibit Index beginning on page II-4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680"/>
        <w:gridCol w:w="1175"/>
      </w:tblGrid>
      <w:tr>
        <w:trPr/>
        <w:tc>
          <w:tcPr>
            <w:tcW w:w="6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10</w:t>
            </w:r>
          </w:p>
        </w:tc>
        <w:tc>
          <w:tcPr>
            <w:tcW w:w="1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Undertakings</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6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paragraphs (a)(1)(i), (a)(1)(ii), and (a)(1)(iii) of this section do not apply if the information required to be included in a 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 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need not be furnished, provided, that the registrant includes in the prospectus, by means of a post-effective amendment, financial statements required pursuant to this paragraph (4)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or Rule 3-19 of Regulation S-K if such financial statements and information are contained in periodic reports filed with or furnished to the SEC by the registrant pursuant to Section 13 or Section 15(d) of the Securities Exchange Act of 1934 that are incorporated by reference in the Form F-3.</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7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shall be deemed to be part of the registration statement as of the date the filed prospectus was deemed part of and included in the registration statement; and</w:t>
            </w:r>
          </w:p>
        </w:tc>
      </w:tr>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i/>
                <w:sz w:val="20"/>
              </w:rPr>
              <w:t>Provided</w:t>
            </w:r>
            <w:r>
              <w:rPr>
                <w:rFonts w:ascii="Times New Roman;Times;Serif" w:hAnsi="Times New Roman;Times;Serif"/>
                <w:sz w:val="20"/>
              </w:rPr>
              <w:t xml:space="preserve">, </w:t>
            </w:r>
            <w:r>
              <w:rPr>
                <w:rFonts w:ascii="Times New Roman;Times;Serif" w:hAnsi="Times New Roman;Times;Serif"/>
                <w:i/>
                <w:sz w:val="20"/>
              </w:rPr>
              <w:t>however</w:t>
            </w:r>
            <w:r>
              <w:rPr>
                <w:rFonts w:ascii="Times New Roman;Times;Serif" w:hAnsi="Times New Roman;Times;Serif"/>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21"/>
        <w:gridCol w:w="81"/>
        <w:gridCol w:w="8703"/>
      </w:tblGrid>
      <w:tr>
        <w:trPr/>
        <w:tc>
          <w:tcPr>
            <w:tcW w:w="1421" w:type="dxa"/>
            <w:tcBorders>
              <w:bottom w:val="single" w:sz="8" w:space="0" w:color="000000"/>
            </w:tcBorders>
            <w:vAlign w:val="center"/>
          </w:tcPr>
          <w:p>
            <w:pPr>
              <w:pStyle w:val="TableContents"/>
              <w:bidi w:val="0"/>
              <w:spacing w:before="0" w:after="283"/>
              <w:jc w:val="both"/>
              <w:rPr/>
            </w:pPr>
            <w:r>
              <w:rPr>
                <w:rFonts w:ascii="Times New Roman;Times;Serif" w:hAnsi="Times New Roman;Times;Serif"/>
                <w:b/>
                <w:sz w:val="20"/>
              </w:rPr>
              <w:t>Exhibit Number</w:t>
            </w: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bottom w:val="single" w:sz="8" w:space="0" w:color="000000"/>
            </w:tcBorders>
            <w:vAlign w:val="center"/>
          </w:tcPr>
          <w:p>
            <w:pPr>
              <w:pStyle w:val="TableContents"/>
              <w:bidi w:val="0"/>
              <w:spacing w:before="0" w:after="283"/>
              <w:jc w:val="both"/>
              <w:rPr/>
            </w:pPr>
            <w:r>
              <w:rPr>
                <w:rFonts w:ascii="Times New Roman;Times;Serif" w:hAnsi="Times New Roman;Times;Serif"/>
                <w:b/>
                <w:sz w:val="20"/>
              </w:rPr>
              <w:t>Description of Document</w:t>
            </w:r>
            <w:r>
              <w:rPr/>
              <w:t xml:space="preserve"> </w:t>
            </w:r>
          </w:p>
        </w:tc>
      </w:tr>
      <w:tr>
        <w:trPr/>
        <w:tc>
          <w:tcPr>
            <w:tcW w:w="1421" w:type="dxa"/>
            <w:tcBorders/>
            <w:tcMar>
              <w:bottom w:w="0" w:type="dxa"/>
            </w:tcMar>
            <w:vAlign w:val="center"/>
          </w:tcPr>
          <w:p>
            <w:pPr>
              <w:pStyle w:val="TableContents"/>
              <w:bidi w:val="0"/>
              <w:spacing w:before="0" w:after="283"/>
              <w:jc w:val="both"/>
              <w:rPr/>
            </w:pP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r>
              <w:rPr>
                <w:rFonts w:ascii="Times New Roman;Times;Serif" w:hAnsi="Times New Roman;Times;Serif"/>
                <w:sz w:val="20"/>
              </w:rPr>
              <w:t>1.1*</w:t>
            </w: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rFonts w:ascii="Times New Roman;Times;Serif" w:hAnsi="Times New Roman;Times;Serif"/>
                <w:sz w:val="20"/>
              </w:rPr>
              <w:t>Form of Placement Agency Agreement</w:t>
            </w:r>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4.1 †</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Registrant’s Specimen Ordinary Share Certificate (incorporated by reference to Exhibit 4.2 to our registration statement on Form S-1 (File No. 333-220510), as amended, initially filed with the SEC on September 18, 2017)</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4.2†</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Securities Purchase Agreement, dated August 6, 2025, between Kaixin Holdings and Discover Flux Ltd (incorporated by reference to Exhibit 99.3 to our current report on Form 6-K (File No. 001-38261) filed with the SEC on September 12, 2025)</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4.3†</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sz w:val="20"/>
                </w:rPr>
                <w:t>Securities Purchase Agreement, dated February 22, 2024, between Kaixin Auto Holdings and Shangyue Limited (incorporated by reference to Exhibit 99.1 to our current report on Form 6-K (File No. 001-38261) filed with the SEC on February 29, 2024)</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sz w:val="20"/>
                </w:rPr>
                <w:t>4.4†</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sz w:val="20"/>
                </w:rPr>
                <w:t>Securities Purchase Agreement, dated May 15, 2024, between Kaixin Holdings and AutoA2A, Ltd (incorporated by reference to Exhibit 4.54 to our current report on Form 20-F (File No. 001-38261) filed with the SEC on March 31, 2025)</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sz w:val="20"/>
                </w:rPr>
                <w:t>4.5†</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sz w:val="20"/>
                </w:rPr>
                <w:t>Kaixin Holdings Ordinary Shares Purchase Warrant Agreement, dated May 15, 2024, between Kaixin Holdings and AutoA2A, Ltd (incorporated by reference to Exhibit 4.56 to our current report on Form 20-F (File No. 001-38261) filed with the SEC on March 31, 2025)</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r>
              <w:rPr>
                <w:rFonts w:ascii="Times New Roman;Times;Serif" w:hAnsi="Times New Roman;Times;Serif"/>
                <w:sz w:val="20"/>
              </w:rPr>
              <w:t>4.6*</w:t>
            </w: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rFonts w:ascii="Times New Roman;Times;Serif" w:hAnsi="Times New Roman;Times;Serif"/>
                <w:sz w:val="20"/>
              </w:rPr>
              <w:t>Form of Preferred Shares</w:t>
            </w:r>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r>
              <w:rPr>
                <w:rFonts w:ascii="Times New Roman;Times;Serif" w:hAnsi="Times New Roman;Times;Serif"/>
                <w:sz w:val="20"/>
              </w:rPr>
              <w:t>4.7*</w:t>
            </w: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rFonts w:ascii="Times New Roman;Times;Serif" w:hAnsi="Times New Roman;Times;Serif"/>
                <w:sz w:val="20"/>
              </w:rPr>
              <w:t>Form of Debt Security</w:t>
            </w:r>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r>
              <w:rPr>
                <w:rFonts w:ascii="Times New Roman;Times;Serif" w:hAnsi="Times New Roman;Times;Serif"/>
                <w:sz w:val="20"/>
              </w:rPr>
              <w:t>4.8*</w:t>
            </w: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rFonts w:ascii="Times New Roman;Times;Serif" w:hAnsi="Times New Roman;Times;Serif"/>
                <w:sz w:val="20"/>
              </w:rPr>
              <w:t>Form of Warrant Agreement and Warrant Certificate</w:t>
            </w:r>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r>
              <w:rPr>
                <w:rFonts w:ascii="Times New Roman;Times;Serif" w:hAnsi="Times New Roman;Times;Serif"/>
                <w:sz w:val="20"/>
              </w:rPr>
              <w:t>4.9*</w:t>
            </w: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rFonts w:ascii="Times New Roman;Times;Serif" w:hAnsi="Times New Roman;Times;Serif"/>
                <w:sz w:val="20"/>
              </w:rPr>
              <w:t>Form of Unit Agreement and Unit Certificate</w:t>
            </w:r>
            <w:r>
              <w:rPr/>
              <w:t xml:space="preserve"> </w:t>
            </w:r>
          </w:p>
        </w:tc>
      </w:tr>
      <w:tr>
        <w:trPr/>
        <w:tc>
          <w:tcPr>
            <w:tcW w:w="1421" w:type="dxa"/>
            <w:tcBorders/>
            <w:tcMar>
              <w:bottom w:w="0" w:type="dxa"/>
            </w:tcMar>
            <w:vAlign w:val="center"/>
          </w:tcPr>
          <w:p>
            <w:pPr>
              <w:pStyle w:val="TableContents"/>
              <w:bidi w:val="0"/>
              <w:spacing w:before="0" w:after="283"/>
              <w:jc w:val="both"/>
              <w:rPr/>
            </w:pPr>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sz w:val="20"/>
                </w:rPr>
                <w:t>4.10†</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sz w:val="20"/>
                </w:rPr>
                <w:t>Form of Indenture</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w:anchor="tm2618055d1_ex5-1.htm">
              <w:r>
                <w:rPr>
                  <w:rStyle w:val="InternetLink"/>
                  <w:rFonts w:ascii="Times New Roman;Times;Serif" w:hAnsi="Times New Roman;Times;Serif"/>
                  <w:sz w:val="20"/>
                </w:rPr>
                <w:t>5.1**</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w:anchor="tm2618055d1_ex5-1.htm">
              <w:r>
                <w:rPr>
                  <w:rStyle w:val="InternetLink"/>
                  <w:rFonts w:ascii="Times New Roman;Times;Serif" w:hAnsi="Times New Roman;Times;Serif"/>
                  <w:sz w:val="20"/>
                </w:rPr>
                <w:t>Opinion of Maples and Calder (Hong Kong) LLP</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w:anchor="tm2618055d1_ex23-1.htm">
              <w:r>
                <w:rPr>
                  <w:rStyle w:val="InternetLink"/>
                  <w:rFonts w:ascii="Times New Roman;Times;Serif" w:hAnsi="Times New Roman;Times;Serif"/>
                  <w:sz w:val="20"/>
                </w:rPr>
                <w:t>23.1**</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w:anchor="tm2618055d1_ex23-1.htm">
              <w:r>
                <w:rPr>
                  <w:rStyle w:val="InternetLink"/>
                  <w:rFonts w:ascii="Times New Roman;Times;Serif" w:hAnsi="Times New Roman;Times;Serif"/>
                  <w:sz w:val="20"/>
                </w:rPr>
                <w:t>Consent of Onestop Assurance PAC</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w:anchor="tm2618055d1_ex5-1.htm">
              <w:r>
                <w:rPr>
                  <w:rStyle w:val="InternetLink"/>
                  <w:rFonts w:ascii="Times New Roman;Times;Serif" w:hAnsi="Times New Roman;Times;Serif"/>
                  <w:sz w:val="20"/>
                </w:rPr>
                <w:t>23.3**</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w:anchor="tm2618055d1_ex5-1.htm">
              <w:r>
                <w:rPr>
                  <w:rStyle w:val="InternetLink"/>
                  <w:rFonts w:ascii="Times New Roman;Times;Serif" w:hAnsi="Times New Roman;Times;Serif"/>
                  <w:sz w:val="20"/>
                </w:rPr>
                <w:t>Consent of Maples and Calder (Hong Kong) LLP (included in Exhibit 5.1)</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sz w:val="20"/>
                </w:rPr>
                <w:t>24.1**</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w:anchor="a_001">
              <w:r>
                <w:rPr>
                  <w:rStyle w:val="InternetLink"/>
                  <w:rFonts w:ascii="Times New Roman;Times;Serif" w:hAnsi="Times New Roman;Times;Serif"/>
                  <w:sz w:val="20"/>
                </w:rPr>
                <w:t>Power of Attorney (included on signature page)</w:t>
              </w:r>
            </w:hyperlink>
            <w:r>
              <w:rPr/>
              <w:t xml:space="preserve"> </w:t>
            </w:r>
          </w:p>
        </w:tc>
      </w:tr>
      <w:tr>
        <w:trPr/>
        <w:tc>
          <w:tcPr>
            <w:tcW w:w="1421" w:type="dxa"/>
            <w:tcBorders/>
            <w:shd w:fill="FFFFFF" w:val="clear"/>
            <w:tcMar>
              <w:bottom w:w="0" w:type="dxa"/>
            </w:tcMar>
            <w:vAlign w:val="center"/>
          </w:tcPr>
          <w:p>
            <w:pPr>
              <w:pStyle w:val="TableContents"/>
              <w:bidi w:val="0"/>
              <w:spacing w:before="0" w:after="283"/>
              <w:jc w:val="both"/>
              <w:rPr/>
            </w:pPr>
            <w:r>
              <w:rPr/>
              <w:t xml:space="preserve">  </w:t>
            </w:r>
          </w:p>
        </w:tc>
        <w:tc>
          <w:tcPr>
            <w:tcW w:w="81" w:type="dxa"/>
            <w:tcBorders/>
            <w:shd w:fill="FFFFFF" w:val="clear"/>
            <w:tcMar>
              <w:bottom w:w="0" w:type="dxa"/>
            </w:tcMar>
            <w:vAlign w:val="center"/>
          </w:tcPr>
          <w:p>
            <w:pPr>
              <w:pStyle w:val="TableContents"/>
              <w:bidi w:val="0"/>
              <w:spacing w:before="0" w:after="283"/>
              <w:jc w:val="both"/>
              <w:rPr/>
            </w:pPr>
            <w:r>
              <w:rPr/>
              <w:t xml:space="preserve">  </w:t>
            </w:r>
          </w:p>
        </w:tc>
        <w:tc>
          <w:tcPr>
            <w:tcW w:w="8703" w:type="dxa"/>
            <w:tcBorders/>
            <w:shd w:fill="FFFFFF" w:val="clear"/>
            <w:tcMar>
              <w:bottom w:w="0" w:type="dxa"/>
            </w:tcMar>
            <w:vAlign w:val="center"/>
          </w:tcPr>
          <w:p>
            <w:pPr>
              <w:pStyle w:val="TableContents"/>
              <w:bidi w:val="0"/>
              <w:spacing w:before="0" w:after="283"/>
              <w:jc w:val="both"/>
              <w:rPr/>
            </w:pPr>
            <w:r>
              <w:rPr/>
              <w:t xml:space="preserve">  </w:t>
            </w:r>
          </w:p>
        </w:tc>
      </w:tr>
      <w:tr>
        <w:trPr/>
        <w:tc>
          <w:tcPr>
            <w:tcW w:w="1421"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sz w:val="20"/>
                </w:rPr>
                <w:t>107†</w:t>
              </w:r>
            </w:hyperlink>
            <w:r>
              <w:rPr/>
              <w:t xml:space="preserve"> </w:t>
            </w:r>
          </w:p>
        </w:tc>
        <w:tc>
          <w:tcPr>
            <w:tcW w:w="81" w:type="dxa"/>
            <w:tcBorders/>
            <w:tcMar>
              <w:bottom w:w="0" w:type="dxa"/>
            </w:tcMar>
            <w:vAlign w:val="center"/>
          </w:tcPr>
          <w:p>
            <w:pPr>
              <w:pStyle w:val="TableContents"/>
              <w:bidi w:val="0"/>
              <w:spacing w:before="0" w:after="283"/>
              <w:jc w:val="both"/>
              <w:rPr/>
            </w:pPr>
            <w:r>
              <w:rPr/>
              <w:t xml:space="preserve">  </w:t>
            </w:r>
          </w:p>
        </w:tc>
        <w:tc>
          <w:tcPr>
            <w:tcW w:w="8703"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sz w:val="20"/>
                </w:rPr>
                <w:t>Filing Fee Table</w:t>
              </w:r>
            </w:hyperlink>
            <w:r>
              <w:rPr/>
              <w:t xml:space="preserv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filed, if applicable, by amendment or as an exhibit to a report filed pursuant to Section 13(a) or 15(d) of the Securities Exchange Act of 1934, as amended, and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Previously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01"/>
      <w:bookmarkEnd w:id="29"/>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Beijing, People’s Republic of China, on June 17, 2026. </w:t>
      </w:r>
    </w:p>
    <w:p>
      <w:pPr>
        <w:pStyle w:val="TextBody"/>
        <w:bidi w:val="0"/>
        <w:spacing w:before="0" w:after="0"/>
        <w:ind w:left="0" w:right="0" w:hanging="0"/>
        <w:jc w:val="left"/>
        <w:rPr>
          <w:caps w:val="false"/>
          <w:smallCaps w:val="false"/>
        </w:rPr>
      </w:pPr>
      <w:r>
        <w:rPr>
          <w:caps w:val="false"/>
          <w:smallCaps w:val="false"/>
        </w:rPr>
        <w:t> </w:t>
      </w:r>
    </w:p>
    <w:tbl>
      <w:tblPr>
        <w:tblW w:w="3240" w:type="dxa"/>
        <w:jc w:val="left"/>
        <w:tblInd w:w="0" w:type="dxa"/>
        <w:tblLayout w:type="fixed"/>
        <w:tblCellMar>
          <w:top w:w="0" w:type="dxa"/>
          <w:left w:w="0" w:type="dxa"/>
          <w:bottom w:w="0" w:type="dxa"/>
          <w:right w:w="0" w:type="dxa"/>
        </w:tblCellMar>
      </w:tblPr>
      <w:tblGrid>
        <w:gridCol w:w="75"/>
        <w:gridCol w:w="320"/>
        <w:gridCol w:w="545"/>
        <w:gridCol w:w="2300"/>
      </w:tblGrid>
      <w:tr>
        <w:trPr/>
        <w:tc>
          <w:tcPr>
            <w:tcW w:w="75" w:type="dxa"/>
            <w:tcBorders/>
            <w:vAlign w:val="center"/>
          </w:tcPr>
          <w:p>
            <w:pPr>
              <w:pStyle w:val="TableContents"/>
              <w:bidi w:val="0"/>
              <w:spacing w:before="0" w:after="283"/>
              <w:jc w:val="left"/>
              <w:rPr/>
            </w:pPr>
            <w:r>
              <w:rPr/>
              <w:t> </w:t>
            </w:r>
          </w:p>
        </w:tc>
        <w:tc>
          <w:tcPr>
            <w:tcW w:w="316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Kaixin Holdings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Yang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Yang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this registration statement has been signed by the following persons on June 17, 2026 in the capacities indicated. </w:t>
      </w:r>
    </w:p>
    <w:p>
      <w:pPr>
        <w:pStyle w:val="TextBody"/>
        <w:bidi w:val="0"/>
        <w:spacing w:before="0" w:after="0"/>
        <w:ind w:left="0" w:right="0" w:hanging="0"/>
        <w:jc w:val="left"/>
        <w:rPr>
          <w:caps w:val="false"/>
          <w:smallCaps w:val="false"/>
        </w:rPr>
      </w:pPr>
      <w:r>
        <w:rPr>
          <w:caps w:val="false"/>
          <w:smallCaps w:val="false"/>
        </w:rPr>
        <w:t> </w:t>
      </w:r>
    </w:p>
    <w:tbl>
      <w:tblPr>
        <w:tblW w:w="4510" w:type="dxa"/>
        <w:jc w:val="left"/>
        <w:tblInd w:w="0" w:type="dxa"/>
        <w:tblLayout w:type="fixed"/>
        <w:tblCellMar>
          <w:top w:w="0" w:type="dxa"/>
          <w:left w:w="0" w:type="dxa"/>
          <w:bottom w:w="28" w:type="dxa"/>
          <w:right w:w="0" w:type="dxa"/>
        </w:tblCellMar>
      </w:tblPr>
      <w:tblGrid>
        <w:gridCol w:w="1445"/>
        <w:gridCol w:w="60"/>
        <w:gridCol w:w="3005"/>
      </w:tblGrid>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4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Mingjun Lin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Director</w:t>
            </w:r>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Mingjun Lin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Executive Officer)</w:t>
            </w:r>
          </w:p>
        </w:tc>
      </w:tr>
      <w:tr>
        <w:trPr/>
        <w:tc>
          <w:tcPr>
            <w:tcW w:w="14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Yi Yang</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and Director</w:t>
            </w:r>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Yi Yang</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4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Xiaolei Gu</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Xiaolei Gu</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4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Deqiang Chen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Deqiang Chen</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144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Xiaoning Wu</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pPr>
            <w:r>
              <w:rPr/>
              <w:t> </w:t>
            </w:r>
          </w:p>
        </w:tc>
      </w:tr>
      <w:tr>
        <w:trPr/>
        <w:tc>
          <w:tcPr>
            <w:tcW w:w="14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Xiaoning Wu</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Securities Act of 1933, as amended, the undersigned, the duly authorized representative in the United States of America of Kaixin Auto Holdings, has signed this registration statement thereto in New York, NY on June 17, 2026. </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545"/>
        <w:gridCol w:w="4205"/>
      </w:tblGrid>
      <w:tr>
        <w:trPr/>
        <w:tc>
          <w:tcPr>
            <w:tcW w:w="75" w:type="dxa"/>
            <w:tcBorders/>
            <w:vAlign w:val="center"/>
          </w:tcPr>
          <w:p>
            <w:pPr>
              <w:pStyle w:val="TableContents"/>
              <w:bidi w:val="0"/>
              <w:spacing w:before="0" w:after="283"/>
              <w:jc w:val="left"/>
              <w:rPr/>
            </w:pPr>
            <w:r>
              <w:rPr/>
              <w:t> </w:t>
            </w:r>
          </w:p>
        </w:tc>
        <w:tc>
          <w:tcPr>
            <w:tcW w:w="47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Registrants Global LLC</w:t>
            </w:r>
          </w:p>
        </w:tc>
      </w:tr>
      <w:tr>
        <w:trPr/>
        <w:tc>
          <w:tcPr>
            <w:tcW w:w="75" w:type="dxa"/>
            <w:tcBorders/>
            <w:vAlign w:val="center"/>
          </w:tcPr>
          <w:p>
            <w:pPr>
              <w:pStyle w:val="TableContents"/>
              <w:bidi w:val="0"/>
              <w:spacing w:before="0" w:after="283"/>
              <w:jc w:val="left"/>
              <w:rPr/>
            </w:pPr>
            <w:r>
              <w:rPr/>
              <w:t> </w:t>
            </w:r>
          </w:p>
        </w:tc>
        <w:tc>
          <w:tcPr>
            <w:tcW w:w="47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U.S. Representative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Anne Jackson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 Jackson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on behalf of Registrants Global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II-5</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 w:name="tm2618055d1_ex5-1.htm"/>
      <w:bookmarkStart w:id="31" w:name="kstm2618055d1_ex51"/>
      <w:bookmarkEnd w:id="30"/>
      <w:bookmarkEnd w:id="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143000" cy="1095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7"/>
                    <a:stretch>
                      <a:fillRect/>
                    </a:stretch>
                  </pic:blipFill>
                  <pic:spPr bwMode="auto">
                    <a:xfrm>
                      <a:off x="0" y="0"/>
                      <a:ext cx="1143000" cy="1095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65"/>
        <w:gridCol w:w="2855"/>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Our ref</w:t>
            </w:r>
          </w:p>
        </w:tc>
        <w:tc>
          <w:tcPr>
            <w:tcW w:w="2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JLH/721179-000003/86587135v1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w:t>
        <w:br/>
        <w:t>Complex Building Room 211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Dong Quan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Luoyang Town, Taishun County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Wenzhou, Zhejiang Province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Kaixin Holdings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U.S. Securities Act of 1933, as amended, and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included therein to date relating to (a) the issuance by the Company of up to US$296,000,000 of Class A Ordinary Shares, Preferred Shares, Debt Securities, Warrants, Rights, and Units (as each such term is defined in the Registration Statement, with the Class A Ordinary Shares, Preferred Shares, and shares issuable pursuant to the Warrants, Rights and Units collectively referred to herein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and (b) the registration of the resale by those certain security holders named as such in the Registration Statement (the “</w:t>
      </w:r>
      <w:r>
        <w:rPr>
          <w:rFonts w:ascii="Times New Roman;Times;Serif" w:hAnsi="Times New Roman;Times;Serif"/>
          <w:b/>
          <w:i w:val="false"/>
          <w:caps w:val="false"/>
          <w:smallCaps w:val="false"/>
          <w:sz w:val="20"/>
        </w:rPr>
        <w:t>Selling Security Holders</w:t>
      </w:r>
      <w:r>
        <w:rPr>
          <w:rFonts w:ascii="Times New Roman;Times;Serif" w:hAnsi="Times New Roman;Times;Serif"/>
          <w:b w:val="false"/>
          <w:i w:val="false"/>
          <w:caps w:val="false"/>
          <w:smallCaps w:val="false"/>
          <w:sz w:val="20"/>
        </w:rPr>
        <w:t>”) of up to 43,415,633 Class A Ordinary Shares (including (i) 199,572 Class A Ordinary Shares, (ii) 2,000,000 Class A Ordinary Shares issuable upon the conversion of 2,000 convertible Series F Preferred Shares, (iii) 12,800,000 Class A Ordinary Shares issuable upon the conversion of 12,800 convertible Series G Preferred Shares, (iv) 7,366,424 Class A Ordinary Shares issuable upon the conversion of 7,366 convertible Series H Preferred Shares, (v) 10,000,000 Class A Ordinary Shares issuable upon the conversion of 10,000 convertible Series I Preferred Shares, and (vi) 11,049,637 Class A Ordinary Shares issuable upon the exercise of 11,049,637 warrants) (the “</w:t>
      </w:r>
      <w:r>
        <w:rPr>
          <w:rFonts w:ascii="Times New Roman;Times;Serif" w:hAnsi="Times New Roman;Times;Serif"/>
          <w:b/>
          <w:i w:val="false"/>
          <w:caps w:val="false"/>
          <w:smallCaps w:val="false"/>
          <w:sz w:val="20"/>
        </w:rPr>
        <w:t>Resale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and consent as Exhibits 5.1 and 23.3 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155"/>
        <w:gridCol w:w="2225"/>
      </w:tblGrid>
      <w:tr>
        <w:trPr/>
        <w:tc>
          <w:tcPr>
            <w:tcW w:w="155" w:type="dxa"/>
            <w:tcBorders/>
            <w:vAlign w:val="center"/>
          </w:tcPr>
          <w:p>
            <w:pPr>
              <w:pStyle w:val="TableContents"/>
              <w:bidi w:val="0"/>
              <w:spacing w:before="0" w:after="283"/>
              <w:jc w:val="left"/>
              <w:rPr/>
            </w:pPr>
            <w:r>
              <w:rPr/>
              <w:t>1</w:t>
            </w:r>
          </w:p>
        </w:tc>
        <w:tc>
          <w:tcPr>
            <w:tcW w:w="2225" w:type="dxa"/>
            <w:tcBorders/>
            <w:vAlign w:val="center"/>
          </w:tcPr>
          <w:p>
            <w:pPr>
              <w:pStyle w:val="TableContents"/>
              <w:bidi w:val="0"/>
              <w:spacing w:before="0" w:after="283"/>
              <w:jc w:val="both"/>
              <w:rPr>
                <w:b/>
              </w:rPr>
            </w:pPr>
            <w:r>
              <w:rPr>
                <w:b/>
              </w:rPr>
              <w:t>Documents Reviewed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The certificate of incorporation of the Company dated 28 November 2016 and the certificates of incorporation on change of name of the Company dated 1 May 2019 and 20 March 2024 issued by the Registrar of Companies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The seventh amended and restated memorandum and articles of association of the Company adopted by special resolution passed on 20 September 2025 (the “</w:t>
            </w:r>
            <w:r>
              <w:rPr>
                <w:b/>
              </w:rPr>
              <w:t>Prior Memorandum and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283"/>
              <w:jc w:val="both"/>
              <w:rPr/>
            </w:pPr>
            <w:r>
              <w:rPr/>
              <w:t>The eighth amended and restated memorandum and articles of association of the Company adopted by special resolution passed on 21 February 2026 (the “</w:t>
            </w:r>
            <w:r>
              <w:rPr>
                <w:b/>
              </w:rPr>
              <w:t>Current Memorandum and Articles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1.4</w:t>
            </w:r>
          </w:p>
        </w:tc>
        <w:tc>
          <w:tcPr>
            <w:tcW w:w="9870" w:type="dxa"/>
            <w:tcBorders/>
            <w:vAlign w:val="center"/>
          </w:tcPr>
          <w:p>
            <w:pPr>
              <w:pStyle w:val="TableContents"/>
              <w:bidi w:val="0"/>
              <w:spacing w:before="0" w:after="283"/>
              <w:jc w:val="both"/>
              <w:rPr/>
            </w:pPr>
            <w:r>
              <w:rPr/>
              <w:t>The written resolutions of the board of directors of the Company dated 19 November 2025 (the “</w:t>
            </w:r>
            <w:r>
              <w:rPr>
                <w:b/>
              </w:rPr>
              <w:t>Directors’ Resolutions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1.5</w:t>
            </w:r>
          </w:p>
        </w:tc>
        <w:tc>
          <w:tcPr>
            <w:tcW w:w="9870" w:type="dxa"/>
            <w:tcBorders/>
            <w:vAlign w:val="center"/>
          </w:tcPr>
          <w:p>
            <w:pPr>
              <w:pStyle w:val="TableContents"/>
              <w:bidi w:val="0"/>
              <w:spacing w:before="0" w:after="283"/>
              <w:jc w:val="both"/>
              <w:rPr/>
            </w:pPr>
            <w:r>
              <w:rPr/>
              <w:t>A certificate from a director of the Company, a copy of which is attached hereto (the “</w:t>
            </w:r>
            <w:r>
              <w:rPr>
                <w:b/>
              </w:rPr>
              <w:t>Director’s Certificate</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1.6</w:t>
            </w:r>
          </w:p>
        </w:tc>
        <w:tc>
          <w:tcPr>
            <w:tcW w:w="9870" w:type="dxa"/>
            <w:tcBorders/>
            <w:vAlign w:val="center"/>
          </w:tcPr>
          <w:p>
            <w:pPr>
              <w:pStyle w:val="TableContents"/>
              <w:bidi w:val="0"/>
              <w:spacing w:before="0" w:after="283"/>
              <w:jc w:val="both"/>
              <w:rPr/>
            </w:pPr>
            <w:r>
              <w:rPr/>
              <w:t>A certificate of good standing dated May 5, 2026, issued by the Registrar of Companies in the Cayman Islands (the “</w:t>
            </w:r>
            <w:r>
              <w:rPr>
                <w:b/>
              </w:rPr>
              <w:t>Certificate of Good Standing</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35"/>
        <w:gridCol w:w="2660"/>
      </w:tblGrid>
      <w:tr>
        <w:trPr/>
        <w:tc>
          <w:tcPr>
            <w:tcW w:w="335" w:type="dxa"/>
            <w:tcBorders/>
            <w:vAlign w:val="center"/>
          </w:tcPr>
          <w:p>
            <w:pPr>
              <w:pStyle w:val="TableContents"/>
              <w:bidi w:val="0"/>
              <w:spacing w:before="0" w:after="283"/>
              <w:jc w:val="left"/>
              <w:rPr/>
            </w:pPr>
            <w:r>
              <w:rPr/>
              <w:t>1.7</w:t>
            </w:r>
          </w:p>
        </w:tc>
        <w:tc>
          <w:tcPr>
            <w:tcW w:w="266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55"/>
        <w:gridCol w:w="1340"/>
      </w:tblGrid>
      <w:tr>
        <w:trPr/>
        <w:tc>
          <w:tcPr>
            <w:tcW w:w="155" w:type="dxa"/>
            <w:tcBorders/>
            <w:vAlign w:val="center"/>
          </w:tcPr>
          <w:p>
            <w:pPr>
              <w:pStyle w:val="TableContents"/>
              <w:bidi w:val="0"/>
              <w:spacing w:before="0" w:after="283"/>
              <w:jc w:val="left"/>
              <w:rPr/>
            </w:pPr>
            <w:r>
              <w:rPr/>
              <w:t>2</w:t>
            </w:r>
          </w:p>
        </w:tc>
        <w:tc>
          <w:tcPr>
            <w:tcW w:w="1340"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2.1</w:t>
            </w:r>
          </w:p>
        </w:tc>
        <w:tc>
          <w:tcPr>
            <w:tcW w:w="9870"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335"/>
        <w:gridCol w:w="4205"/>
      </w:tblGrid>
      <w:tr>
        <w:trPr/>
        <w:tc>
          <w:tcPr>
            <w:tcW w:w="335" w:type="dxa"/>
            <w:tcBorders/>
            <w:vAlign w:val="center"/>
          </w:tcPr>
          <w:p>
            <w:pPr>
              <w:pStyle w:val="TableContents"/>
              <w:bidi w:val="0"/>
              <w:spacing w:before="0" w:after="283"/>
              <w:jc w:val="left"/>
              <w:rPr/>
            </w:pPr>
            <w:r>
              <w:rPr/>
              <w:t>2.2</w:t>
            </w:r>
          </w:p>
        </w:tc>
        <w:tc>
          <w:tcPr>
            <w:tcW w:w="4205" w:type="dxa"/>
            <w:tcBorders/>
            <w:vAlign w:val="center"/>
          </w:tcPr>
          <w:p>
            <w:pPr>
              <w:pStyle w:val="TableContents"/>
              <w:bidi w:val="0"/>
              <w:spacing w:before="0" w:after="283"/>
              <w:jc w:val="both"/>
              <w:rPr/>
            </w:pPr>
            <w:r>
              <w:rPr/>
              <w:t>All signatures, initials and seals are genuine.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2.3</w:t>
            </w:r>
          </w:p>
        </w:tc>
        <w:tc>
          <w:tcPr>
            <w:tcW w:w="9870" w:type="dxa"/>
            <w:tcBorders/>
            <w:vAlign w:val="center"/>
          </w:tcPr>
          <w:p>
            <w:pPr>
              <w:pStyle w:val="TableContents"/>
              <w:bidi w:val="0"/>
              <w:spacing w:before="0" w:after="283"/>
              <w:jc w:val="both"/>
              <w:rPr/>
            </w:pPr>
            <w:r>
              <w:rPr/>
              <w:t>There is nothing contained in the minute book or corporate records of the Company (which, other than the records set out in paragraphs 1.1 to 1.4 of this opinion letter, we have not inspected)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2.4</w:t>
            </w:r>
          </w:p>
        </w:tc>
        <w:tc>
          <w:tcPr>
            <w:tcW w:w="9870" w:type="dxa"/>
            <w:tcBorders/>
            <w:vAlign w:val="center"/>
          </w:tcPr>
          <w:p>
            <w:pPr>
              <w:pStyle w:val="TableContents"/>
              <w:bidi w:val="0"/>
              <w:spacing w:before="0" w:after="283"/>
              <w:jc w:val="both"/>
              <w:rPr/>
            </w:pPr>
            <w:r>
              <w:rPr/>
              <w:t>The Company will have sufficient authorised share capital to effect the issue of Shares and the issue of Class A Ordinary Shares pursuant to the Resale Securities at the time of issuance.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2.5</w:t>
            </w:r>
          </w:p>
        </w:tc>
        <w:tc>
          <w:tcPr>
            <w:tcW w:w="9870"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2.6</w:t>
            </w:r>
          </w:p>
        </w:tc>
        <w:tc>
          <w:tcPr>
            <w:tcW w:w="9870" w:type="dxa"/>
            <w:tcBorders/>
            <w:vAlign w:val="center"/>
          </w:tcPr>
          <w:p>
            <w:pPr>
              <w:pStyle w:val="TableContents"/>
              <w:bidi w:val="0"/>
              <w:spacing w:before="0" w:after="283"/>
              <w:jc w:val="both"/>
              <w:rPr/>
            </w:pPr>
            <w:r>
              <w:rPr/>
              <w:t>No invitation has been or will be made by or on behalf of the Company to the public in the Cayman Islands to subscribe for any of the Shares and the Resale Securities.</w:t>
            </w:r>
          </w:p>
        </w:tc>
      </w:tr>
    </w:tbl>
    <w:p>
      <w:pPr>
        <w:pStyle w:val="TextBody"/>
        <w:bidi w:val="0"/>
        <w:spacing w:before="0" w:after="0"/>
        <w:ind w:left="0" w:right="0" w:hanging="0"/>
        <w:jc w:val="left"/>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155"/>
        <w:gridCol w:w="950"/>
      </w:tblGrid>
      <w:tr>
        <w:trPr/>
        <w:tc>
          <w:tcPr>
            <w:tcW w:w="155" w:type="dxa"/>
            <w:tcBorders/>
            <w:vAlign w:val="center"/>
          </w:tcPr>
          <w:p>
            <w:pPr>
              <w:pStyle w:val="TableContents"/>
              <w:bidi w:val="0"/>
              <w:spacing w:before="0" w:after="283"/>
              <w:jc w:val="left"/>
              <w:rPr/>
            </w:pPr>
            <w:r>
              <w:rPr/>
              <w:t>3</w:t>
            </w:r>
          </w:p>
        </w:tc>
        <w:tc>
          <w:tcPr>
            <w:tcW w:w="950" w:type="dxa"/>
            <w:tcBorders/>
            <w:vAlign w:val="center"/>
          </w:tcPr>
          <w:p>
            <w:pPr>
              <w:pStyle w:val="TableContents"/>
              <w:bidi w:val="0"/>
              <w:spacing w:before="0" w:after="283"/>
              <w:jc w:val="both"/>
              <w:rPr>
                <w:b/>
              </w:rPr>
            </w:pPr>
            <w:r>
              <w:rPr>
                <w:b/>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3.1</w:t>
            </w:r>
          </w:p>
        </w:tc>
        <w:tc>
          <w:tcPr>
            <w:tcW w:w="9870"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3.2</w:t>
            </w:r>
          </w:p>
        </w:tc>
        <w:tc>
          <w:tcPr>
            <w:tcW w:w="9870" w:type="dxa"/>
            <w:tcBorders/>
            <w:vAlign w:val="center"/>
          </w:tcPr>
          <w:p>
            <w:pPr>
              <w:pStyle w:val="TableContents"/>
              <w:bidi w:val="0"/>
              <w:spacing w:before="0" w:after="283"/>
              <w:jc w:val="both"/>
              <w:rPr/>
            </w:pPr>
            <w:r>
              <w:rPr/>
              <w:t>The authorised share capital of the Company is US$22,208,165,528 divided into (a) 1,076,699,522 Class A ordinary shares of a par value of US$20.25 each, (b) 20,000,000 Class B ordinary shares of a par value of US$20.25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3.3</w:t>
            </w:r>
          </w:p>
        </w:tc>
        <w:tc>
          <w:tcPr>
            <w:tcW w:w="9870" w:type="dxa"/>
            <w:tcBorders/>
            <w:vAlign w:val="center"/>
          </w:tcPr>
          <w:p>
            <w:pPr>
              <w:pStyle w:val="TableContents"/>
              <w:bidi w:val="0"/>
              <w:spacing w:before="0" w:after="283"/>
              <w:jc w:val="both"/>
              <w:rPr/>
            </w:pPr>
            <w:r>
              <w:rPr/>
              <w:t>With respect to the Shares, when (i) the board of directors of the Company (the “</w:t>
            </w:r>
            <w:r>
              <w:rPr>
                <w:b/>
              </w:rPr>
              <w:t>Board</w:t>
            </w:r>
            <w:r>
              <w:rPr/>
              <w:t>”) has taken all necessary corporate action to approve the issue thereof, the terms of the offering thereof and related matters; (ii) the issue of such Shares has been recorded in the Company’s register of members (shareholders); and (iii) the subscription price of such Shares (being not less than the par value of the Shares) has been fully paid in cash or other consideration approved by the Board, the Shares will be duly authorised, validly issued, fully paid and non-assessable. As a matter of Cayman law, a share is only issued when it has been entered in the register of members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3.4</w:t>
            </w:r>
          </w:p>
        </w:tc>
        <w:tc>
          <w:tcPr>
            <w:tcW w:w="9870" w:type="dxa"/>
            <w:tcBorders/>
            <w:vAlign w:val="center"/>
          </w:tcPr>
          <w:p>
            <w:pPr>
              <w:pStyle w:val="TableContents"/>
              <w:bidi w:val="0"/>
              <w:spacing w:before="0" w:after="283"/>
              <w:jc w:val="both"/>
              <w:rPr/>
            </w:pPr>
            <w:r>
              <w:rPr/>
              <w:t>The Class A Ordinary Shares offered by the Selling Security Holders are legally issued and allotted and fully paid and non-assessable. As a matter of Cayman law, a share is only issued when it has been entered in the register of members (shareholders).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3.5</w:t>
            </w:r>
          </w:p>
        </w:tc>
        <w:tc>
          <w:tcPr>
            <w:tcW w:w="9870" w:type="dxa"/>
            <w:tcBorders/>
            <w:vAlign w:val="center"/>
          </w:tcPr>
          <w:p>
            <w:pPr>
              <w:pStyle w:val="TableContents"/>
              <w:bidi w:val="0"/>
              <w:spacing w:before="0" w:after="283"/>
              <w:jc w:val="both"/>
              <w:rPr/>
            </w:pPr>
            <w:r>
              <w:rPr/>
              <w:t>With respect to the Class A Ordinary Shares issuable pursuant to the Resale Securities, when (i) the Board has taken all necessary corporate action to approve the issue thereof, the terms of the offering thereof and related matters; (ii) the issue of such Class A Ordinary Shares has been recorded in the Company’s register of members (shareholders); and (iii) the subscription price of such Class A Ordinary Shares (being not less than the par value of the Class A Ordinary Shares) has been fully paid in cash or other consideration approved by the Board, the Class A Ordinary Shares issuable pursuant to the Resale Securities will be duly authorised, validly issued, fully paid and non-assessable. As a matter of Cayman law, a share is only issued when it has been entered in the register of members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55"/>
        <w:gridCol w:w="1430"/>
      </w:tblGrid>
      <w:tr>
        <w:trPr/>
        <w:tc>
          <w:tcPr>
            <w:tcW w:w="155" w:type="dxa"/>
            <w:tcBorders/>
            <w:vAlign w:val="center"/>
          </w:tcPr>
          <w:p>
            <w:pPr>
              <w:pStyle w:val="TableContents"/>
              <w:bidi w:val="0"/>
              <w:spacing w:before="0" w:after="283"/>
              <w:jc w:val="left"/>
              <w:rPr/>
            </w:pPr>
            <w:r>
              <w:rPr/>
              <w:t>4</w:t>
            </w:r>
          </w:p>
        </w:tc>
        <w:tc>
          <w:tcPr>
            <w:tcW w:w="1430" w:type="dxa"/>
            <w:tcBorders/>
            <w:vAlign w:val="center"/>
          </w:tcPr>
          <w:p>
            <w:pPr>
              <w:pStyle w:val="TableContents"/>
              <w:bidi w:val="0"/>
              <w:spacing w:before="0" w:after="283"/>
              <w:jc w:val="both"/>
              <w:rPr>
                <w:b/>
              </w:rPr>
            </w:pPr>
            <w:r>
              <w:rPr>
                <w:b/>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4.1</w:t>
            </w:r>
          </w:p>
        </w:tc>
        <w:tc>
          <w:tcPr>
            <w:tcW w:w="9870" w:type="dxa"/>
            <w:tcBorders/>
            <w:vAlign w:val="center"/>
          </w:tcPr>
          <w:p>
            <w:pPr>
              <w:pStyle w:val="TableContents"/>
              <w:bidi w:val="0"/>
              <w:spacing w:before="0" w:after="283"/>
              <w:jc w:val="both"/>
              <w:rPr/>
            </w:pPr>
            <w:r>
              <w:rPr/>
              <w:t>To maintain the Company in good standing under the laws of the Cayman Islands, annual filing fees must be paid and returns made to the Registrar of Companies within the time frame prescribed by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4.2</w:t>
            </w:r>
          </w:p>
        </w:tc>
        <w:tc>
          <w:tcPr>
            <w:tcW w:w="9870" w:type="dxa"/>
            <w:tcBorders/>
            <w:vAlign w:val="center"/>
          </w:tcPr>
          <w:p>
            <w:pPr>
              <w:pStyle w:val="TableContents"/>
              <w:bidi w:val="0"/>
              <w:spacing w:before="0" w:after="283"/>
              <w:jc w:val="both"/>
              <w:rPr/>
            </w:pPr>
            <w:r>
              <w:rPr/>
              <w:t>Under the Companies Act (As Revised) of the Cayman Islands (the “</w:t>
            </w:r>
            <w:r>
              <w:rPr>
                <w:b/>
              </w:rPr>
              <w:t>Companies Act</w:t>
            </w:r>
            <w:r>
              <w:rPr/>
              <w: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4.3</w:t>
            </w:r>
          </w:p>
        </w:tc>
        <w:tc>
          <w:tcPr>
            <w:tcW w:w="9870" w:type="dxa"/>
            <w:tcBorders/>
            <w:vAlign w:val="center"/>
          </w:tcPr>
          <w:p>
            <w:pPr>
              <w:pStyle w:val="TableContents"/>
              <w:bidi w:val="0"/>
              <w:spacing w:before="0" w:after="283"/>
              <w:jc w:val="both"/>
              <w:rPr/>
            </w:pPr>
            <w:r>
              <w:rPr/>
              <w:t>In this opinion the phrase “non-assessable” means, with respect to shares in the Company, that a shareholder shall not, solely by virtue of its status as a shareholder and in absence of a contractual arrangement,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4.4</w:t>
            </w:r>
          </w:p>
        </w:tc>
        <w:tc>
          <w:tcPr>
            <w:tcW w:w="9870" w:type="dxa"/>
            <w:tcBorders/>
            <w:vAlign w:val="center"/>
          </w:tcPr>
          <w:p>
            <w:pPr>
              <w:pStyle w:val="TableContents"/>
              <w:bidi w:val="0"/>
              <w:spacing w:before="0" w:after="283"/>
              <w:jc w:val="both"/>
              <w:rPr/>
            </w:pPr>
            <w:r>
              <w:rPr/>
              <w:t>We express no opinion as to the meaning, validity or effect of any references to foreign (i.e. non-Cayman Islands) statutes, rules, regulations, codes, judicial authority or any other promulgations and any references to them in the Registration Statement and the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and “Legal Matters” and elsewhere in the prospectus included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320"/>
        <w:gridCol w:w="306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Maples and Calder (Hong Kong) LLP</w:t>
            </w:r>
          </w:p>
        </w:tc>
      </w:tr>
      <w:tr>
        <w:trPr/>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26th Floor, Central Plaza</w:t>
            </w:r>
          </w:p>
        </w:tc>
      </w:tr>
      <w:tr>
        <w:trPr/>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 Harbour Road, Wanchai</w:t>
            </w:r>
          </w:p>
        </w:tc>
      </w:tr>
      <w:tr>
        <w:trPr/>
        <w:tc>
          <w:tcPr>
            <w:tcW w:w="32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Kaixin Holdings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being a director of the Company, am aware that you are being asked to provide a legal opinion (the “</w:t>
      </w:r>
      <w:r>
        <w:rPr>
          <w:rFonts w:ascii="Times New Roman;Times;Serif" w:hAnsi="Times New Roman;Times;Serif"/>
          <w:b/>
          <w:i w:val="false"/>
          <w:caps w:val="false"/>
          <w:smallCaps w:val="false"/>
          <w:sz w:val="20"/>
        </w:rPr>
        <w:t>Opinion</w:t>
      </w:r>
      <w:r>
        <w:rPr>
          <w:rFonts w:ascii="Times New Roman;Times;Serif" w:hAnsi="Times New Roman;Times;Serif"/>
          <w:b w:val="false"/>
          <w:i w:val="false"/>
          <w:caps w:val="false"/>
          <w:smallCaps w:val="false"/>
          <w:sz w:val="20"/>
        </w:rPr>
        <w:t>”) in relation to certain aspects of Cayman Islands law. Capitalised terms used in this certificate have the meaning given to them in the Opinion. I hereby certify that:</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155"/>
        <w:gridCol w:w="8600"/>
      </w:tblGrid>
      <w:tr>
        <w:trPr/>
        <w:tc>
          <w:tcPr>
            <w:tcW w:w="155" w:type="dxa"/>
            <w:tcBorders/>
            <w:vAlign w:val="center"/>
          </w:tcPr>
          <w:p>
            <w:pPr>
              <w:pStyle w:val="TableContents"/>
              <w:bidi w:val="0"/>
              <w:spacing w:before="0" w:after="283"/>
              <w:jc w:val="left"/>
              <w:rPr/>
            </w:pPr>
            <w:r>
              <w:rPr/>
              <w:t>1</w:t>
            </w:r>
          </w:p>
        </w:tc>
        <w:tc>
          <w:tcPr>
            <w:tcW w:w="8600" w:type="dxa"/>
            <w:tcBorders/>
            <w:vAlign w:val="center"/>
          </w:tcPr>
          <w:p>
            <w:pPr>
              <w:pStyle w:val="TableContents"/>
              <w:bidi w:val="0"/>
              <w:spacing w:before="0" w:after="283"/>
              <w:jc w:val="both"/>
              <w:rPr/>
            </w:pPr>
            <w:r>
              <w:rPr/>
              <w:t>The Current Memorandum and Articles remain in full force and effect and are unamended.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2</w:t>
            </w:r>
          </w:p>
        </w:tc>
        <w:tc>
          <w:tcPr>
            <w:tcW w:w="10050" w:type="dxa"/>
            <w:tcBorders/>
            <w:vAlign w:val="center"/>
          </w:tcPr>
          <w:p>
            <w:pPr>
              <w:pStyle w:val="TableContents"/>
              <w:bidi w:val="0"/>
              <w:spacing w:before="0" w:after="283"/>
              <w:jc w:val="both"/>
              <w:rPr/>
            </w:pPr>
            <w:r>
              <w:rPr/>
              <w:t>The Directors’ Resolutions were duly passed in the manner prescribed in the Prior Memorandum and Articles (including, without limitation, with respect to the disclosure of interests (if any) by directors of the Company) and have not been amended, varied or revoked in any respect.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3</w:t>
            </w:r>
          </w:p>
        </w:tc>
        <w:tc>
          <w:tcPr>
            <w:tcW w:w="10050" w:type="dxa"/>
            <w:tcBorders/>
            <w:vAlign w:val="center"/>
          </w:tcPr>
          <w:p>
            <w:pPr>
              <w:pStyle w:val="TableContents"/>
              <w:bidi w:val="0"/>
              <w:spacing w:before="0" w:after="283"/>
              <w:jc w:val="both"/>
              <w:rPr/>
            </w:pPr>
            <w:r>
              <w:rPr/>
              <w:t>The authorised share capital of the Company is US$22,208,165,528 divided into (a) 1,076,699,522 Class A ordinary shares of a par value of US$20.25 each, (b) 20,000,000 Class B ordinary shares of a par value of US$20.25 each, (c) 6,000 Series A convertible preferred shares of a par value of US$0.0001 each, (d) 6,000 Series D convertible preferred shares of a par value of US$0.0001 each, (e) 50,005 Series F convertible preferred shares of a par value of US$0.00005 each, (f) 50,000 Series G convertible preferred shares of a par value of US$0.00075 each, (g) 50,000 Series H convertible preferred shares of a par value of US$0.00075 each, (h) 50,000 Series I convertible preferred shares of a par value of US$0.00075 each, (i) 50,000 Series J convertible preferred shares of a par value of US$0.00075 each, and (j) 71,733 Series K convertible preferred shares of a par value of US$0.00075 each, and all of the issued Shares in the capital of the Company have been duly and validly authorised and issued and are fully paid and non-assessable (meaning that no further sums are payable to the Company on such shares and the Company has received payment therefor).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4</w:t>
            </w:r>
          </w:p>
        </w:tc>
        <w:tc>
          <w:tcPr>
            <w:tcW w:w="10050" w:type="dxa"/>
            <w:tcBorders/>
            <w:vAlign w:val="center"/>
          </w:tcPr>
          <w:p>
            <w:pPr>
              <w:pStyle w:val="TableContents"/>
              <w:bidi w:val="0"/>
              <w:spacing w:before="0" w:after="283"/>
              <w:jc w:val="both"/>
              <w:rPr/>
            </w:pPr>
            <w:r>
              <w:rPr/>
              <w:t>The shareholders of the Company have not restricted or limited the powers of the directors of the Company in any way and there is no contractual or other prohibition (other than as arising under Cayman Islands law) binding on the Company prohibiting it from issuing and allotting the Shares or otherwise performing its obligations under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5</w:t>
            </w:r>
          </w:p>
        </w:tc>
        <w:tc>
          <w:tcPr>
            <w:tcW w:w="10050" w:type="dxa"/>
            <w:tcBorders/>
            <w:vAlign w:val="center"/>
          </w:tcPr>
          <w:p>
            <w:pPr>
              <w:pStyle w:val="TableContents"/>
              <w:bidi w:val="0"/>
              <w:spacing w:before="0" w:after="283"/>
              <w:jc w:val="both"/>
              <w:rPr/>
            </w:pPr>
            <w:r>
              <w:rPr/>
              <w:t>The directors of the Company at the date of the Directors’ Resolutions and at the date hereof were and are as follows: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Mingjun Lin</w:t>
        <w:br/>
        <w:t>Xiaolei Gu</w:t>
        <w:br/>
        <w:t>Deqiang Chen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 Yang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Xiaoning WU</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6</w:t>
            </w:r>
          </w:p>
        </w:tc>
        <w:tc>
          <w:tcPr>
            <w:tcW w:w="10050" w:type="dxa"/>
            <w:tcBorders/>
            <w:vAlign w:val="center"/>
          </w:tcPr>
          <w:p>
            <w:pPr>
              <w:pStyle w:val="TableContents"/>
              <w:bidi w:val="0"/>
              <w:spacing w:before="0" w:after="283"/>
              <w:jc w:val="both"/>
              <w:rPr/>
            </w:pPr>
            <w:r>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the subject of the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7</w:t>
            </w:r>
          </w:p>
        </w:tc>
        <w:tc>
          <w:tcPr>
            <w:tcW w:w="10050" w:type="dxa"/>
            <w:tcBorders/>
            <w:vAlign w:val="center"/>
          </w:tcPr>
          <w:p>
            <w:pPr>
              <w:pStyle w:val="TableContents"/>
              <w:bidi w:val="0"/>
              <w:spacing w:before="0" w:after="283"/>
              <w:jc w:val="both"/>
              <w:rPr/>
            </w:pPr>
            <w:r>
              <w:rPr/>
              <w:t>To the best of my knowledge and belief, having made due inquiry, the Company is not the subject of legal, arbitral, administrative or other proceedings in any jurisdiction that would have a material adverse effect on the business, properties, financial condition, results of operations or prospects of the Company. Neither the directors nor shareholders of the Company have taken any steps to have the Company struck off or placed in liquidation. Further, no steps have been taken to wind up the Company or to appoint restructuring officers or interim restructuring officers, and no step has been taken to appoint a receiver in relation to any of the Company’s property or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8</w:t>
            </w:r>
          </w:p>
        </w:tc>
        <w:tc>
          <w:tcPr>
            <w:tcW w:w="10050" w:type="dxa"/>
            <w:tcBorders/>
            <w:vAlign w:val="center"/>
          </w:tcPr>
          <w:p>
            <w:pPr>
              <w:pStyle w:val="TableContents"/>
              <w:bidi w:val="0"/>
              <w:spacing w:before="0" w:after="283"/>
              <w:jc w:val="both"/>
              <w:rPr/>
            </w:pPr>
            <w:r>
              <w:rPr/>
              <w:t>No interest in the Company constituting shares, voting rights or ultimate effective control over management in the Company is currently subject to a restrictions notice issued under the Beneficial Ownership Transparency Act (As Revised).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confirm that you may continue to rely on this Certificate as being true and correct on the day that you issue the Opinion unless I shall have previously notified you personally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875"/>
        <w:gridCol w:w="935"/>
        <w:gridCol w:w="75"/>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9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Yang</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Yang</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18055d1_ex23-1.htm"/>
      <w:bookmarkStart w:id="33" w:name="kstm2618055d1_ex231"/>
      <w:bookmarkEnd w:id="32"/>
      <w:bookmarkEnd w:id="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F-3 under the Securities Act of 1933 of our report dated April 7, 2026, with respect to the consolidated balance sheets of Kaixin Holdings and its subsidiaries (collectively referred to as the “Company”) as of December 31, 2025 and 2024, the related consolidated statements of profit or loss and other comprehensive income, changes in equity and cash flows for each of the year in the year ended December 31, 2025, 2024, and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such Registration Statements.</w:t>
      </w:r>
    </w:p>
    <w:p>
      <w:pPr>
        <w:pStyle w:val="TextBody"/>
        <w:bidi w:val="0"/>
        <w:spacing w:before="0" w:after="0"/>
        <w:ind w:left="0" w:right="0" w:hanging="0"/>
        <w:jc w:val="left"/>
        <w:rPr>
          <w:caps w:val="false"/>
          <w:smallCaps w:val="false"/>
        </w:rPr>
      </w:pPr>
      <w:r>
        <w:rPr>
          <w:caps w:val="false"/>
          <w:smallCaps w:val="false"/>
        </w:rPr>
        <w:t> </w:t>
      </w:r>
    </w:p>
    <w:tbl>
      <w:tblPr>
        <w:tblW w:w="2315" w:type="dxa"/>
        <w:jc w:val="left"/>
        <w:tblInd w:w="0" w:type="dxa"/>
        <w:tblLayout w:type="fixed"/>
        <w:tblCellMar>
          <w:top w:w="0" w:type="dxa"/>
          <w:left w:w="0" w:type="dxa"/>
          <w:bottom w:w="0" w:type="dxa"/>
          <w:right w:w="0" w:type="dxa"/>
        </w:tblCellMar>
      </w:tblPr>
      <w:tblGrid>
        <w:gridCol w:w="2240"/>
        <w:gridCol w:w="7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Onestop Assurance PAC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Onestop Assurance PAC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713539/000110465926040360/kxin-20251231x20f.htm" TargetMode="External"/><Relationship Id="rId5" Type="http://schemas.openxmlformats.org/officeDocument/2006/relationships/hyperlink" Target="https://www.sec.gov/ix?doc=/Archives/edgar/data/1713539/000110465926040360/kxin-20251231x20f.htm" TargetMode="External"/><Relationship Id="rId6" Type="http://schemas.openxmlformats.org/officeDocument/2006/relationships/hyperlink" Target="https://www.sec.gov/ix?doc=/Archives/edgar/data/1713539/000110465926040360/kxin-20251231x20f.htm" TargetMode="External"/><Relationship Id="rId7" Type="http://schemas.openxmlformats.org/officeDocument/2006/relationships/hyperlink" Target="https://www.sec.gov/ix?doc=/Archives/edgar/data/1713539/000110465926040360/kxin-20251231x20f.htm" TargetMode="External"/><Relationship Id="rId8" Type="http://schemas.openxmlformats.org/officeDocument/2006/relationships/hyperlink" Target="https://www.sec.gov/Archives/edgar/data/1713539/000110465926042010/tm2611599d1_6k.htm" TargetMode="External"/><Relationship Id="rId9" Type="http://schemas.openxmlformats.org/officeDocument/2006/relationships/hyperlink" Target="https://www.sec.gov/ix?doc=/Archives/edgar/data/1713539/000110465926040360/kxin-20251231x20f.htm" TargetMode="External"/><Relationship Id="rId10" Type="http://schemas.openxmlformats.org/officeDocument/2006/relationships/hyperlink" Target="https://www.sec.gov/Archives/edgar/data/1713539/000110465925106975/tm2530300d1_s8.htm" TargetMode="External"/><Relationship Id="rId11" Type="http://schemas.openxmlformats.org/officeDocument/2006/relationships/hyperlink" Target="https://www.sec.gov/Archives/edgar/data/1713539/000161577417005148/s107523_s1.htm" TargetMode="External"/><Relationship Id="rId12" Type="http://schemas.openxmlformats.org/officeDocument/2006/relationships/hyperlink" Target="https://www.sec.gov/ix?doc=/Archives/edgar/data/1713539/000110465926040360/kxin-20251231x20f.htm" TargetMode="External"/><Relationship Id="rId13" Type="http://schemas.openxmlformats.org/officeDocument/2006/relationships/hyperlink" Target="https://www.sec.gov/Archives/edgar/data/1713539/000161577417005781/s107743_ex4-2.htm" TargetMode="External"/><Relationship Id="rId14" Type="http://schemas.openxmlformats.org/officeDocument/2006/relationships/hyperlink" Target="https://www.sec.gov/Archives/edgar/data/1713539/000161577417005781/s107743_ex4-2.htm" TargetMode="External"/><Relationship Id="rId15" Type="http://schemas.openxmlformats.org/officeDocument/2006/relationships/hyperlink" Target="https://www.sec.gov/Archives/edgar/data/1713539/000110465925089526/tm2525967d1_ex99-3.htm" TargetMode="External"/><Relationship Id="rId16" Type="http://schemas.openxmlformats.org/officeDocument/2006/relationships/hyperlink" Target="https://www.sec.gov/Archives/edgar/data/1713539/000110465925089526/tm2525967d1_ex99-3.htm" TargetMode="External"/><Relationship Id="rId17" Type="http://schemas.openxmlformats.org/officeDocument/2006/relationships/hyperlink" Target="https://www.sec.gov/Archives/edgar/data/1713539/000110465924029351/tm247612d1_ex99-1.htm" TargetMode="External"/><Relationship Id="rId18" Type="http://schemas.openxmlformats.org/officeDocument/2006/relationships/hyperlink" Target="https://www.sec.gov/Archives/edgar/data/1713539/000110465924029351/tm247612d1_ex99-1.htm" TargetMode="External"/><Relationship Id="rId19" Type="http://schemas.openxmlformats.org/officeDocument/2006/relationships/hyperlink" Target="https://www.sec.gov/Archives/edgar/data/1713539/000141057825000574/kxin-20241231xex4d54.htm" TargetMode="External"/><Relationship Id="rId20" Type="http://schemas.openxmlformats.org/officeDocument/2006/relationships/hyperlink" Target="https://www.sec.gov/Archives/edgar/data/1713539/000141057825000574/kxin-20241231xex4d54.htm" TargetMode="External"/><Relationship Id="rId21" Type="http://schemas.openxmlformats.org/officeDocument/2006/relationships/hyperlink" Target="https://www.sec.gov/Archives/edgar/data/1713539/000141057825000574/kxin-20241231xex4d56.htm" TargetMode="External"/><Relationship Id="rId22" Type="http://schemas.openxmlformats.org/officeDocument/2006/relationships/hyperlink" Target="https://www.sec.gov/Archives/edgar/data/1713539/000141057825000574/kxin-20241231xex4d56.htm" TargetMode="External"/><Relationship Id="rId23" Type="http://schemas.openxmlformats.org/officeDocument/2006/relationships/hyperlink" Target="https://www.sec.gov/Archives/edgar/data/1713539/000110465925121145/tm2532022d3_ex4-10.htm" TargetMode="External"/><Relationship Id="rId24" Type="http://schemas.openxmlformats.org/officeDocument/2006/relationships/hyperlink" Target="https://www.sec.gov/Archives/edgar/data/1713539/000110465925121145/tm2532022d3_ex4-10.htm" TargetMode="External"/><Relationship Id="rId25" Type="http://schemas.openxmlformats.org/officeDocument/2006/relationships/hyperlink" Target="https://www.sec.gov/ix?doc=/Archives/edgar/data/1713539/000110465925115398/tm2532022d1_ex-filingfees.htm" TargetMode="External"/><Relationship Id="rId26" Type="http://schemas.openxmlformats.org/officeDocument/2006/relationships/hyperlink" Target="https://www.sec.gov/ix?doc=/Archives/edgar/data/1713539/000110465925115398/tm2532022d1_ex-filingfees.htm" TargetMode="External"/><Relationship Id="rId27" Type="http://schemas.openxmlformats.org/officeDocument/2006/relationships/image" Target="media/image3.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31020</Words>
  <Characters>164764</Characters>
  <CharactersWithSpaces>196207</CharactersWithSpaces>
  <Paragraphs>2461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