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825d1_6k.htm"/>
      <w:bookmarkStart w:id="1" w:name="kstm2624825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 UNDER THE</w:t>
        <w:b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001-38261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Kaixin Holdings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Complex Building Room 211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Dong Quan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Luoyang Town, Taishun County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Wenzhou, Zhejiang Province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Times New Roman;Times;Serif" w:hAnsi="Times New Roman;Times;Serif"/>
          <w:b w:val="false"/>
          <w:i w:val="false"/>
          <w:caps w:val="false"/>
          <w:smallCaps w:val="false"/>
          <w:sz w:val="20"/>
        </w:rPr>
        <w:t xml:space="preserve">Form 20-F </w:t>
      </w:r>
      <w:r>
        <w:rPr>
          <w:rFonts w:ascii="Arial;Helvetica;Sans-Serif" w:hAnsi="Arial;Helvetica;Sans-Serif"/>
          <w:b w:val="false"/>
          <w:i w:val="false"/>
          <w:caps w:val="false"/>
          <w:smallCaps w:val="false"/>
          <w:sz w:val="20"/>
        </w:rPr>
        <w:t>☒   </w:t>
      </w:r>
      <w:r>
        <w:rPr>
          <w:rFonts w:ascii="Times New Roman;Times;Serif" w:hAnsi="Times New Roman;Times;Serif"/>
          <w:b w:val="false"/>
          <w:i w:val="false"/>
          <w:caps w:val="false"/>
          <w:smallCaps w:val="false"/>
          <w:sz w:val="20"/>
        </w:rPr>
        <w:t>Form 40-F </w:t>
      </w:r>
      <w:r>
        <w:rPr>
          <w:rFonts w:ascii="Arial;Helvetica;Sans-Serif" w:hAnsi="Arial;Helvetica;San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of Additional Shares in Connection with the Acquisition of Hongkong Taohaoche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the Form 6-K of the Kaixin Holdings (“</w:t>
      </w:r>
      <w:r>
        <w:rPr>
          <w:rFonts w:ascii="Times New Roman;Times;Serif" w:hAnsi="Times New Roman;Times;Serif"/>
          <w:b/>
          <w:i w:val="false"/>
          <w:caps w:val="false"/>
          <w:smallCaps w:val="false"/>
          <w:sz w:val="20"/>
        </w:rPr>
        <w:t>Kaixin</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filed with the Securities and Exchange Commission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on August 27, 2026, on August 26, 2026, the Company, Jet Sound Hong Kong Company Limited (the “</w:t>
      </w:r>
      <w:r>
        <w:rPr>
          <w:rFonts w:ascii="Times New Roman;Times;Serif" w:hAnsi="Times New Roman;Times;Serif"/>
          <w:b/>
          <w:i w:val="false"/>
          <w:caps w:val="false"/>
          <w:smallCaps w:val="false"/>
          <w:sz w:val="20"/>
        </w:rPr>
        <w:t>Purchaser</w:t>
      </w:r>
      <w:r>
        <w:rPr>
          <w:rFonts w:ascii="Times New Roman;Times;Serif" w:hAnsi="Times New Roman;Times;Serif"/>
          <w:b w:val="false"/>
          <w:i w:val="false"/>
          <w:caps w:val="false"/>
          <w:smallCaps w:val="false"/>
          <w:sz w:val="20"/>
        </w:rPr>
        <w:t>”), a wholly owned subsidiary of the Company, Hsiao-Ching Chiu (the “</w:t>
      </w:r>
      <w:r>
        <w:rPr>
          <w:rFonts w:ascii="Times New Roman;Times;Serif" w:hAnsi="Times New Roman;Times;Serif"/>
          <w:b/>
          <w:i w:val="false"/>
          <w:caps w:val="false"/>
          <w:smallCaps w:val="false"/>
          <w:sz w:val="20"/>
        </w:rPr>
        <w:t>Seller</w:t>
      </w:r>
      <w:r>
        <w:rPr>
          <w:rFonts w:ascii="Times New Roman;Times;Serif" w:hAnsi="Times New Roman;Times;Serif"/>
          <w:b w:val="false"/>
          <w:i w:val="false"/>
          <w:caps w:val="false"/>
          <w:smallCaps w:val="false"/>
          <w:sz w:val="20"/>
        </w:rPr>
        <w:t>”), and AUTOA2A. LTD. entered into a securities purchase agreement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Pursuant to the Purchase Agreement, the Purchaser agreed to acquire the entire equity interest in Hongkong Taohaoche Limited (the “</w:t>
      </w:r>
      <w:r>
        <w:rPr>
          <w:rFonts w:ascii="Times New Roman;Times;Serif" w:hAnsi="Times New Roman;Times;Serif"/>
          <w:b/>
          <w:i w:val="false"/>
          <w:caps w:val="false"/>
          <w:smallCaps w:val="false"/>
          <w:sz w:val="20"/>
        </w:rPr>
        <w:t>Target Company</w:t>
      </w:r>
      <w:r>
        <w:rPr>
          <w:rFonts w:ascii="Times New Roman;Times;Serif" w:hAnsi="Times New Roman;Times;Serif"/>
          <w:b w:val="false"/>
          <w:i w:val="false"/>
          <w:caps w:val="false"/>
          <w:smallCaps w:val="false"/>
          <w:sz w:val="20"/>
        </w:rPr>
        <w:t>”). The Company agreed to issue 10,000,000 newly issued Class A ordinary shares to the Seller as consideration (the “</w:t>
      </w:r>
      <w:r>
        <w:rPr>
          <w:rFonts w:ascii="Times New Roman;Times;Serif" w:hAnsi="Times New Roman;Times;Serif"/>
          <w:b/>
          <w:i w:val="false"/>
          <w:caps w:val="false"/>
          <w:smallCaps w:val="false"/>
          <w:sz w:val="20"/>
        </w:rPr>
        <w:t>Consideration Shares</w:t>
      </w:r>
      <w:r>
        <w:rPr>
          <w:rFonts w:ascii="Times New Roman;Times;Serif" w:hAnsi="Times New Roman;Times;Serif"/>
          <w:b w:val="false"/>
          <w:i w:val="false"/>
          <w:caps w:val="false"/>
          <w:smallCaps w:val="false"/>
          <w:sz w:val="20"/>
        </w:rPr>
        <w:t>”), which shall be held in escrow and be released subject to performance targets as set forth in the Purchase Agreement. Upon completion, the Target Company became an indirect wholly owned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execution date of the Purchase Agreement on August 26, 2026, the Company’s stock price has declined substantially, from over $5.00 per share to under $1.50 per share. The Consideration Shares have lost more than 70% of their market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2026, the board of directors of the Company approved the issuance of an additional 10,000,000 Class A ordinary shares (the “Additional Shares”) to the Seller, which shall be held in escrow and be released subject to the six-year performance targets as set forth in the Purchase Agreement, as a result of the substantial decrease in market value of the Consideration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is only a brief description of the material terms of the Purchase Agreement and does not purport to be a complete description of the rights and obligations of the parties thereunder. Such description is qualified in its entirety by reference to the full text of the Purchase Agreement, a copy of which is filed as Exhibit 99.1 to the Form 6-K of the Company filed with the Securities and Exchange Commission on August 27, 2026 and is incorporated herein by reference. This content does not constitute an offer to sell or the solicitation of an offer to buy these securities, nor shall there be any sale of these securities in any jurisdiction in which such offer, solicitation or sale would be unlawful prior to the registration or qualification under the securities laws of any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and any exhibits hereto shall be deemed to be incorporated by reference into the registration statements on Form F-3 (File No. 333-291748) and Form S-8 (File No. 333-296850) of the registrant and to be a part thereof from the date on which this report is filed,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may contain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Kaixin may also make written or oral forward-looking statements in its filings with the U.S. Securities and Exchange Commission (“SEC”), in its annual report to shareholders, in press releases and other written materials and in oral statements made by its officers, directors or employees to third parties. These forward-looking statements and their implications are based on the current expectations of the management of the Company only and are subject to a number of factors and uncertainties that could cause actual results to differ materially from those described in the forward-looking statements. Except as otherwise required by law, the Company undertakes no obligation to publicly release any revisions to these forward-looking statements to reflect events or circumstances after the date hereof or to reflect the occurrence of unanticipated events. More detailed information about the risks and uncertainties affecting the Company is contained under the heading “Risk Factors” in the Company’ annual report on Form 20-F for the fiscal year ended December 31, 2024 filed with the Securities and Exchange Commission, or SEC, which is available on the SEC’s website, www.sec.gov, and in subsequent filings made by the Company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515" w:type="dxa"/>
        <w:jc w:val="left"/>
        <w:tblInd w:w="0" w:type="dxa"/>
        <w:tblLayout w:type="fixed"/>
        <w:tblCellMar>
          <w:top w:w="0" w:type="dxa"/>
          <w:left w:w="0" w:type="dxa"/>
          <w:bottom w:w="0" w:type="dxa"/>
          <w:right w:w="0" w:type="dxa"/>
        </w:tblCellMar>
      </w:tblPr>
      <w:tblGrid>
        <w:gridCol w:w="2030"/>
        <w:gridCol w:w="590"/>
        <w:gridCol w:w="1895"/>
      </w:tblGrid>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248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Kaixin Holdings</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24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4, 2026</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Yi Yang</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Yi Yang</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5856" w:right="0" w:hanging="0"/>
        <w:jc w:val="left"/>
        <w:rPr>
          <w:caps w:val="false"/>
          <w:smallCaps w:val="false"/>
        </w:rPr>
      </w:pPr>
      <w:r>
        <w:rPr>
          <w:caps w:val="false"/>
          <w:smallCaps w:val="false"/>
        </w:rPr>
        <w:t> </w:t>
      </w:r>
    </w:p>
    <w:p>
      <w:pPr>
        <w:pStyle w:val="TextBody"/>
        <w:bidi w:val="0"/>
        <w:spacing w:before="0" w:after="0"/>
        <w:ind w:left="5856"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844</Words>
  <Characters>4564</Characters>
  <CharactersWithSpaces>5411</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